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9F" w:rsidRDefault="008E5F9F" w:rsidP="00BD118C">
      <w:pPr>
        <w:spacing w:after="0" w:line="240" w:lineRule="auto"/>
        <w:ind w:right="288"/>
        <w:jc w:val="center"/>
        <w:rPr>
          <w:rFonts w:ascii="Times New Roman" w:hAnsi="Times New Roman" w:cs="Times New Roman"/>
        </w:rPr>
      </w:pPr>
      <w:r>
        <w:rPr>
          <w:rFonts w:ascii="Times New Roman" w:hAnsi="Times New Roman" w:cs="Times New Roman"/>
        </w:rPr>
        <w:t xml:space="preserve">Novo Banco </w:t>
      </w:r>
    </w:p>
    <w:p w:rsidR="008E5F9F" w:rsidRDefault="008E5F9F" w:rsidP="00BD118C">
      <w:pPr>
        <w:spacing w:after="0" w:line="240" w:lineRule="auto"/>
        <w:ind w:right="288"/>
        <w:jc w:val="center"/>
        <w:rPr>
          <w:rFonts w:ascii="Times New Roman" w:hAnsi="Times New Roman" w:cs="Times New Roman"/>
        </w:rPr>
      </w:pPr>
    </w:p>
    <w:p w:rsidR="008E5F9F" w:rsidRDefault="008E5F9F" w:rsidP="00BD118C">
      <w:pPr>
        <w:spacing w:after="0" w:line="240" w:lineRule="auto"/>
        <w:ind w:right="288"/>
        <w:jc w:val="center"/>
        <w:rPr>
          <w:rFonts w:ascii="Times New Roman" w:hAnsi="Times New Roman" w:cs="Times New Roman"/>
        </w:rPr>
      </w:pPr>
      <w:r>
        <w:rPr>
          <w:rFonts w:ascii="Times New Roman" w:hAnsi="Times New Roman" w:cs="Times New Roman"/>
        </w:rPr>
        <w:t xml:space="preserve">Recapitalization with Full Protection of Small Investors and Equal Treatment of Bondholders </w:t>
      </w:r>
    </w:p>
    <w:p w:rsidR="008E5F9F" w:rsidRDefault="008E5F9F" w:rsidP="00BD118C">
      <w:pPr>
        <w:spacing w:after="0" w:line="240" w:lineRule="auto"/>
        <w:ind w:right="288"/>
        <w:jc w:val="center"/>
        <w:rPr>
          <w:rFonts w:ascii="Times New Roman" w:hAnsi="Times New Roman" w:cs="Times New Roman"/>
        </w:rPr>
      </w:pPr>
    </w:p>
    <w:p w:rsidR="008E5F9F" w:rsidRDefault="008E5F9F" w:rsidP="00BD118C">
      <w:pPr>
        <w:spacing w:after="0" w:line="240" w:lineRule="auto"/>
        <w:ind w:right="288"/>
        <w:jc w:val="cente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Lerrick</w:t>
      </w:r>
      <w:proofErr w:type="spellEnd"/>
    </w:p>
    <w:p w:rsidR="008E5F9F" w:rsidRDefault="008E5F9F" w:rsidP="00BD118C">
      <w:pPr>
        <w:spacing w:after="0" w:line="240" w:lineRule="auto"/>
        <w:ind w:right="288"/>
        <w:jc w:val="center"/>
        <w:rPr>
          <w:rFonts w:ascii="Times New Roman" w:hAnsi="Times New Roman" w:cs="Times New Roman"/>
        </w:rPr>
      </w:pPr>
    </w:p>
    <w:p w:rsidR="008E5F9F" w:rsidRDefault="008E5F9F" w:rsidP="00BD118C">
      <w:pPr>
        <w:spacing w:after="0" w:line="240" w:lineRule="auto"/>
        <w:ind w:right="288"/>
        <w:jc w:val="center"/>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The Bank of Portugal made a serious mistake in the structure of the € 2 billion recapitalization of Novo Banco.  It chose five specific senior unsecured bonds out of 40 bonds of equal rank to absorb the losses required to recapitalize Novo Banco.  The justification was protection of small investors because the five bonds are held entirely by large investors.  Bondholders of equal rank receive unequal treatment.  The result is legal challenges, claims of discrimination and of arbitrary action by bank regulators and uncertainty for investors in Eurozone bank bonds.    </w:t>
      </w:r>
      <w:r>
        <w:rPr>
          <w:rFonts w:ascii="Times New Roman" w:hAnsi="Times New Roman" w:cs="Times New Roman"/>
        </w:rPr>
        <w:br/>
      </w:r>
      <w:r>
        <w:rPr>
          <w:rFonts w:ascii="Times New Roman" w:hAnsi="Times New Roman" w:cs="Times New Roman"/>
        </w:rPr>
        <w:br/>
        <w:t xml:space="preserve">An alternative structure based upon the treatment of depositors in a bank restructuring will generate the necessary € 2 billion of Novo Banco capital while providing full protection of small investors and equal treatment for bondholders of equal rank.  A clear set of predictable rules will be established.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Under the Bank of Portugal plan, all holders of the five selected bonds will see 100% of their holdings transferred to the bad bank and incur large losses.  Under the equal treatment structure, even after full protection of small investors, less than 50% of large investor bonds will be transferred to the bad bank.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br/>
      </w:r>
      <w:r>
        <w:rPr>
          <w:rFonts w:ascii="Times New Roman" w:hAnsi="Times New Roman" w:cs="Times New Roman"/>
        </w:rPr>
        <w:br/>
        <w:t xml:space="preserve">I.  Bank of Portugal Recapitalization </w:t>
      </w:r>
      <w:r w:rsidR="00BC6261">
        <w:rPr>
          <w:rFonts w:ascii="Times New Roman" w:hAnsi="Times New Roman" w:cs="Times New Roman"/>
        </w:rPr>
        <w:t>Plan</w:t>
      </w:r>
      <w:r>
        <w:rPr>
          <w:rFonts w:ascii="Times New Roman" w:hAnsi="Times New Roman" w:cs="Times New Roman"/>
        </w:rPr>
        <w:br/>
      </w:r>
      <w:r>
        <w:rPr>
          <w:rFonts w:ascii="Times New Roman" w:hAnsi="Times New Roman" w:cs="Times New Roman"/>
        </w:rPr>
        <w:br/>
        <w:t xml:space="preserve">The Bank of Portugal has two goals:  </w:t>
      </w:r>
    </w:p>
    <w:p w:rsidR="00BD118C" w:rsidRDefault="008E5F9F" w:rsidP="00BD118C">
      <w:pPr>
        <w:spacing w:after="0" w:line="240" w:lineRule="auto"/>
        <w:ind w:right="288"/>
        <w:rPr>
          <w:rFonts w:ascii="Times New Roman" w:hAnsi="Times New Roman" w:cs="Times New Roman"/>
        </w:rPr>
      </w:pPr>
      <w:r>
        <w:rPr>
          <w:rFonts w:ascii="Times New Roman" w:hAnsi="Times New Roman" w:cs="Times New Roman"/>
        </w:rPr>
        <w:br/>
        <w:t xml:space="preserve">1.  Recapitalize Novo Banco without taxpayer funds; and </w:t>
      </w:r>
      <w:r>
        <w:rPr>
          <w:rFonts w:ascii="Times New Roman" w:hAnsi="Times New Roman" w:cs="Times New Roman"/>
        </w:rPr>
        <w:br/>
        <w:t xml:space="preserve">2.  Protect small investors </w:t>
      </w:r>
      <w:r w:rsidR="00B20699">
        <w:rPr>
          <w:rFonts w:ascii="Times New Roman" w:hAnsi="Times New Roman" w:cs="Times New Roman"/>
        </w:rPr>
        <w:t>to</w:t>
      </w:r>
      <w:r w:rsidR="00D9313E">
        <w:rPr>
          <w:rFonts w:ascii="Times New Roman" w:hAnsi="Times New Roman" w:cs="Times New Roman"/>
        </w:rPr>
        <w:t xml:space="preserve"> ensure the</w:t>
      </w:r>
      <w:r w:rsidR="00085E02">
        <w:rPr>
          <w:rFonts w:ascii="Times New Roman" w:hAnsi="Times New Roman" w:cs="Times New Roman"/>
        </w:rPr>
        <w:t xml:space="preserve"> </w:t>
      </w:r>
      <w:r w:rsidR="00CF741C">
        <w:rPr>
          <w:rFonts w:ascii="Times New Roman" w:hAnsi="Times New Roman" w:cs="Times New Roman"/>
        </w:rPr>
        <w:t>stability</w:t>
      </w:r>
      <w:r w:rsidR="00E01B45">
        <w:rPr>
          <w:rFonts w:ascii="Times New Roman" w:hAnsi="Times New Roman" w:cs="Times New Roman"/>
        </w:rPr>
        <w:t xml:space="preserve"> </w:t>
      </w:r>
      <w:r w:rsidR="00D9313E">
        <w:rPr>
          <w:rFonts w:ascii="Times New Roman" w:hAnsi="Times New Roman" w:cs="Times New Roman"/>
        </w:rPr>
        <w:t>of</w:t>
      </w:r>
      <w:r w:rsidR="00E01B45">
        <w:rPr>
          <w:rFonts w:ascii="Times New Roman" w:hAnsi="Times New Roman" w:cs="Times New Roman"/>
        </w:rPr>
        <w:t xml:space="preserve"> </w:t>
      </w:r>
      <w:r>
        <w:rPr>
          <w:rFonts w:ascii="Times New Roman" w:hAnsi="Times New Roman" w:cs="Times New Roman"/>
        </w:rPr>
        <w:t xml:space="preserve">the Portuguese </w:t>
      </w:r>
      <w:r w:rsidR="00576233">
        <w:rPr>
          <w:rFonts w:ascii="Times New Roman" w:hAnsi="Times New Roman" w:cs="Times New Roman"/>
        </w:rPr>
        <w:t>financial</w:t>
      </w:r>
      <w:r>
        <w:rPr>
          <w:rFonts w:ascii="Times New Roman" w:hAnsi="Times New Roman" w:cs="Times New Roman"/>
        </w:rPr>
        <w:t xml:space="preserve"> system.  </w:t>
      </w:r>
      <w:r>
        <w:rPr>
          <w:rFonts w:ascii="Times New Roman" w:hAnsi="Times New Roman" w:cs="Times New Roman"/>
        </w:rPr>
        <w:br/>
      </w:r>
      <w:r>
        <w:rPr>
          <w:rFonts w:ascii="Times New Roman" w:hAnsi="Times New Roman" w:cs="Times New Roman"/>
        </w:rPr>
        <w:br/>
        <w:t>To achieve these goals, the Bank of Portugal transferred five senior unsecured Novo Banco bonds governed by Portuguese law totaling € 2 billion into the bad bank BES where investors will incur large losses.  The minimum denomination of the bonds is € 100,000.  Thirty-five other Novo Banco senior unsecured bonds governed by foreign law and Portuguese law totaling € 3.</w:t>
      </w:r>
      <w:r w:rsidR="00AA628B">
        <w:rPr>
          <w:rFonts w:ascii="Times New Roman" w:hAnsi="Times New Roman" w:cs="Times New Roman"/>
        </w:rPr>
        <w:t>4</w:t>
      </w:r>
      <w:r>
        <w:rPr>
          <w:rFonts w:ascii="Times New Roman" w:hAnsi="Times New Roman" w:cs="Times New Roman"/>
        </w:rPr>
        <w:t xml:space="preserve"> billion remain liabilities of Novo Banco where no losses will be imposed. </w:t>
      </w:r>
      <w:r>
        <w:rPr>
          <w:rFonts w:ascii="Times New Roman" w:hAnsi="Times New Roman" w:cs="Times New Roman"/>
        </w:rPr>
        <w:br/>
      </w:r>
      <w:r>
        <w:rPr>
          <w:rFonts w:ascii="Times New Roman" w:hAnsi="Times New Roman" w:cs="Times New Roman"/>
        </w:rPr>
        <w:br/>
        <w:t xml:space="preserve">Almost all of the bonds transferred to the bad bank BES are held by institutional investors.  Many, if not most, of the bonds that stay in Novo Banco are held by retail investors.  However, the Bank of Portugal plan only partially achieves its goal of protecting small bondholders.  It fails to protect small investors that hold the minimum € 100,000 denomination of the transferred bonds.  At the same time, the plan fully protects large institutions that hold the non-transferred bonds.      </w:t>
      </w:r>
      <w:r>
        <w:rPr>
          <w:rFonts w:ascii="Times New Roman" w:hAnsi="Times New Roman" w:cs="Times New Roman"/>
        </w:rPr>
        <w:br/>
      </w:r>
      <w:r>
        <w:rPr>
          <w:rFonts w:ascii="Times New Roman" w:hAnsi="Times New Roman" w:cs="Times New Roman"/>
        </w:rPr>
        <w:br/>
        <w:t xml:space="preserve">Investors with bonds of equal rank receive unequal treatment.  The result is legal challenges, claims of discrimination and of arbitrary action by bank regulators and uncertainty for investors in Eurozone bank bonds.  </w:t>
      </w:r>
    </w:p>
    <w:p w:rsidR="00BD118C" w:rsidRDefault="00BD118C"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br/>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lastRenderedPageBreak/>
        <w:t>II.</w:t>
      </w:r>
      <w:proofErr w:type="gramStart"/>
      <w:r>
        <w:rPr>
          <w:rFonts w:ascii="Times New Roman" w:hAnsi="Times New Roman" w:cs="Times New Roman"/>
        </w:rPr>
        <w:t>  Alternative</w:t>
      </w:r>
      <w:proofErr w:type="gramEnd"/>
      <w:r>
        <w:rPr>
          <w:rFonts w:ascii="Times New Roman" w:hAnsi="Times New Roman" w:cs="Times New Roman"/>
        </w:rPr>
        <w:t xml:space="preserve"> Structure:  Full Protection of Small Investors and Equal Treatment of Bondholders</w:t>
      </w:r>
      <w:r>
        <w:rPr>
          <w:rFonts w:ascii="Times New Roman" w:hAnsi="Times New Roman" w:cs="Times New Roman"/>
        </w:rPr>
        <w:br/>
      </w:r>
      <w:r>
        <w:rPr>
          <w:rFonts w:ascii="Times New Roman" w:hAnsi="Times New Roman" w:cs="Times New Roman"/>
        </w:rPr>
        <w:br/>
        <w:t>An alternative structure based upon the treatment of deposit</w:t>
      </w:r>
      <w:r w:rsidR="00F165FE">
        <w:rPr>
          <w:rFonts w:ascii="Times New Roman" w:hAnsi="Times New Roman" w:cs="Times New Roman"/>
        </w:rPr>
        <w:t>or</w:t>
      </w:r>
      <w:r>
        <w:rPr>
          <w:rFonts w:ascii="Times New Roman" w:hAnsi="Times New Roman" w:cs="Times New Roman"/>
        </w:rPr>
        <w:t xml:space="preserve">s in a bank restructuring will achieve the Bank of Portugal goals while providing equal treatment for bondholders of equal rank.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Each investor’s aggregate holdings of senior unsecured Novo Banco bonds, both Portuguese law and foreign law, will be divided into two baskets: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1.  A € </w:t>
      </w:r>
      <w:r w:rsidR="00607E54">
        <w:rPr>
          <w:rFonts w:ascii="Times New Roman" w:hAnsi="Times New Roman" w:cs="Times New Roman"/>
        </w:rPr>
        <w:t>2</w:t>
      </w:r>
      <w:r>
        <w:rPr>
          <w:rFonts w:ascii="Times New Roman" w:hAnsi="Times New Roman" w:cs="Times New Roman"/>
        </w:rPr>
        <w:t xml:space="preserve">00,000 fully protected amount that will remain liabilities of Novo Banco (“Protected Holdings”); and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2.  The investor’s holdings above the € </w:t>
      </w:r>
      <w:r w:rsidR="00607E54">
        <w:rPr>
          <w:rFonts w:ascii="Times New Roman" w:hAnsi="Times New Roman" w:cs="Times New Roman"/>
        </w:rPr>
        <w:t>2</w:t>
      </w:r>
      <w:r>
        <w:rPr>
          <w:rFonts w:ascii="Times New Roman" w:hAnsi="Times New Roman" w:cs="Times New Roman"/>
        </w:rPr>
        <w:t>00,000 fully protected amount (“Non-Protected Holdings”).</w:t>
      </w:r>
      <w:r>
        <w:rPr>
          <w:rStyle w:val="FootnoteReference"/>
          <w:rFonts w:ascii="Times New Roman" w:hAnsi="Times New Roman" w:cs="Times New Roman"/>
        </w:rPr>
        <w:footnoteReference w:id="1"/>
      </w:r>
      <w:r>
        <w:rPr>
          <w:rFonts w:ascii="Times New Roman" w:hAnsi="Times New Roman" w:cs="Times New Roman"/>
        </w:rPr>
        <w:t xml:space="preserve">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The Protected Holdings of all investors will be aggregated and deducted from the € 5.4 billion total of Novo Banco senior unsecured bonds.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€ 2 billion of the investor Non-Protected Holdings will be transferred to the bad bank BES creating the required additional capital for Novo Banco.  The excess of total Non-Protected Holdings above the € 2 billion required to recapitalize Novo Banco will remain liabilities of Novo Banco.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All allocations across bond issues and among investor Non-Protected Holdings will be pro rata.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br/>
        <w:t xml:space="preserve">Each bondholder, whether it holds Portuguese law bonds or foreign law bonds, whether the investor is an institution or a small retail client, whether it is Portuguese or foreign, receives the same treatment:   </w:t>
      </w:r>
      <w:r>
        <w:rPr>
          <w:rFonts w:ascii="Times New Roman" w:hAnsi="Times New Roman" w:cs="Times New Roman"/>
        </w:rPr>
        <w:br/>
      </w:r>
      <w:r>
        <w:rPr>
          <w:rFonts w:ascii="Times New Roman" w:hAnsi="Times New Roman" w:cs="Times New Roman"/>
        </w:rPr>
        <w:br/>
        <w:t xml:space="preserve">1.  Total protection up to € </w:t>
      </w:r>
      <w:r w:rsidR="00607E54">
        <w:rPr>
          <w:rFonts w:ascii="Times New Roman" w:hAnsi="Times New Roman" w:cs="Times New Roman"/>
        </w:rPr>
        <w:t>2</w:t>
      </w:r>
      <w:r>
        <w:rPr>
          <w:rFonts w:ascii="Times New Roman" w:hAnsi="Times New Roman" w:cs="Times New Roman"/>
        </w:rPr>
        <w:t xml:space="preserve">00,000; and </w:t>
      </w:r>
      <w:r>
        <w:rPr>
          <w:rFonts w:ascii="Times New Roman" w:hAnsi="Times New Roman" w:cs="Times New Roman"/>
        </w:rPr>
        <w:br/>
        <w:t xml:space="preserve">2.  Identical loss on the investor’s holding above € </w:t>
      </w:r>
      <w:r w:rsidR="00607E54">
        <w:rPr>
          <w:rFonts w:ascii="Times New Roman" w:hAnsi="Times New Roman" w:cs="Times New Roman"/>
        </w:rPr>
        <w:t>2</w:t>
      </w:r>
      <w:r>
        <w:rPr>
          <w:rFonts w:ascii="Times New Roman" w:hAnsi="Times New Roman" w:cs="Times New Roman"/>
        </w:rPr>
        <w:t xml:space="preserve">00,000.  </w:t>
      </w:r>
      <w:r>
        <w:rPr>
          <w:rFonts w:ascii="Times New Roman" w:hAnsi="Times New Roman" w:cs="Times New Roman"/>
        </w:rPr>
        <w:br/>
      </w:r>
      <w:r>
        <w:rPr>
          <w:rFonts w:ascii="Times New Roman" w:hAnsi="Times New Roman" w:cs="Times New Roman"/>
        </w:rPr>
        <w:br/>
        <w:t xml:space="preserve">The structure replicates the treatment of depositors in a bank liquidation/restructuring.  The € </w:t>
      </w:r>
      <w:r w:rsidR="00607E54">
        <w:rPr>
          <w:rFonts w:ascii="Times New Roman" w:hAnsi="Times New Roman" w:cs="Times New Roman"/>
        </w:rPr>
        <w:t>2</w:t>
      </w:r>
      <w:r>
        <w:rPr>
          <w:rFonts w:ascii="Times New Roman" w:hAnsi="Times New Roman" w:cs="Times New Roman"/>
        </w:rPr>
        <w:t xml:space="preserve">00,000 protection will achieve the Bank of Portugal goal of protecting all small investors.  At the same time, all large investors share the cost of the required recapitalization.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br/>
        <w:t xml:space="preserve">There is no discrimination among investors of equal rank and a clear set of predictable rules will be established.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III</w:t>
      </w:r>
      <w:proofErr w:type="gramStart"/>
      <w:r>
        <w:rPr>
          <w:rFonts w:ascii="Times New Roman" w:hAnsi="Times New Roman" w:cs="Times New Roman"/>
        </w:rPr>
        <w:t>.  Result</w:t>
      </w:r>
      <w:proofErr w:type="gramEnd"/>
      <w:r w:rsidR="00011F0D">
        <w:rPr>
          <w:rFonts w:ascii="Times New Roman" w:hAnsi="Times New Roman" w:cs="Times New Roman"/>
        </w:rPr>
        <w:t xml:space="preserve"> for Investors</w:t>
      </w:r>
      <w:r>
        <w:rPr>
          <w:rFonts w:ascii="Times New Roman" w:hAnsi="Times New Roman" w:cs="Times New Roman"/>
        </w:rPr>
        <w:t xml:space="preserve"> under the Bank of Portugal Plan and the Equal Treatment Structure </w:t>
      </w:r>
      <w:r>
        <w:rPr>
          <w:rStyle w:val="FootnoteReference"/>
          <w:rFonts w:ascii="Times New Roman" w:hAnsi="Times New Roman" w:cs="Times New Roman"/>
        </w:rPr>
        <w:footnoteReference w:id="2"/>
      </w:r>
      <w:r>
        <w:rPr>
          <w:rFonts w:ascii="Times New Roman" w:hAnsi="Times New Roman" w:cs="Times New Roman"/>
        </w:rPr>
        <w:t xml:space="preserve">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Novo Banco required capital infusion:  € 2.0 billion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Total Novo Banco senior unsecured bonds:  € 5.4 billion </w:t>
      </w:r>
      <w:r>
        <w:rPr>
          <w:rStyle w:val="FootnoteReference"/>
          <w:rFonts w:ascii="Times New Roman" w:hAnsi="Times New Roman" w:cs="Times New Roman"/>
        </w:rPr>
        <w:footnoteReference w:id="3"/>
      </w:r>
      <w:r>
        <w:rPr>
          <w:rFonts w:ascii="Times New Roman" w:hAnsi="Times New Roman" w:cs="Times New Roman"/>
        </w:rPr>
        <w:t xml:space="preserve">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lastRenderedPageBreak/>
        <w:t xml:space="preserve">Total Protected Holdings:  € 1.2 billion </w:t>
      </w:r>
      <w:r>
        <w:rPr>
          <w:rStyle w:val="FootnoteReference"/>
          <w:rFonts w:ascii="Times New Roman" w:hAnsi="Times New Roman" w:cs="Times New Roman"/>
        </w:rPr>
        <w:footnoteReference w:id="4"/>
      </w:r>
      <w:r>
        <w:rPr>
          <w:rFonts w:ascii="Times New Roman" w:hAnsi="Times New Roman" w:cs="Times New Roman"/>
        </w:rPr>
        <w:t xml:space="preserve">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Total Non-Protected Holdings:  € 4.2 billion (5.4 – 1.2)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Transfer of Non-Protected Holdings to Bad Bank BES:  € 2.0 billion</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Excess of Non-Protected Holdings above € 2 billion required capital infusion:  € 2.2 billion (4.2 – 2.0)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Share of Non-Protected Holdings transferred to Bad Bank BES:  48% (2.0/4.2)</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Share of Non-Protected Holdings retained in Novo Banco:  52% (2.2/4.2)</w:t>
      </w:r>
      <w:r>
        <w:rPr>
          <w:rFonts w:ascii="Times New Roman" w:hAnsi="Times New Roman" w:cs="Times New Roman"/>
        </w:rPr>
        <w:br/>
        <w:t xml:space="preserve"> </w:t>
      </w:r>
      <w:r>
        <w:rPr>
          <w:rFonts w:ascii="Times New Roman" w:hAnsi="Times New Roman" w:cs="Times New Roman"/>
        </w:rPr>
        <w:br/>
        <w:t xml:space="preserve">A.  Bank of Portugal Plan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Investor holds bonds selected for transfer to bad bank BES:  100% of holdings transferred to bad bank</w:t>
      </w:r>
      <w:r w:rsidR="008B51C5">
        <w:rPr>
          <w:rFonts w:ascii="Times New Roman" w:hAnsi="Times New Roman" w:cs="Times New Roman"/>
        </w:rPr>
        <w:t xml:space="preserve"> BES</w:t>
      </w:r>
      <w:r>
        <w:rPr>
          <w:rFonts w:ascii="Times New Roman" w:hAnsi="Times New Roman" w:cs="Times New Roman"/>
        </w:rPr>
        <w:t xml:space="preserve">; 0% of holdings remain in Novo Banco; Investor suffers loss on 100% of holdings.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Investor holds bonds not selected for transfer to bad bank BES:  0% of holdings transferred to bad bank</w:t>
      </w:r>
      <w:r w:rsidR="008B51C5">
        <w:rPr>
          <w:rFonts w:ascii="Times New Roman" w:hAnsi="Times New Roman" w:cs="Times New Roman"/>
        </w:rPr>
        <w:t xml:space="preserve"> BES</w:t>
      </w:r>
      <w:r>
        <w:rPr>
          <w:rFonts w:ascii="Times New Roman" w:hAnsi="Times New Roman" w:cs="Times New Roman"/>
        </w:rPr>
        <w:t xml:space="preserve">; 100% of holdings remain in Novo Banco; Investor has no loss.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B.  Equal Treatment of Bondholders with Full Protection of Small Investor Structure</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1.  Small Retail Investor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Investor holding:  € </w:t>
      </w:r>
      <w:r w:rsidR="00B03E64">
        <w:rPr>
          <w:rFonts w:ascii="Times New Roman" w:hAnsi="Times New Roman" w:cs="Times New Roman"/>
        </w:rPr>
        <w:t>100</w:t>
      </w:r>
      <w:r>
        <w:rPr>
          <w:rFonts w:ascii="Times New Roman" w:hAnsi="Times New Roman" w:cs="Times New Roman"/>
        </w:rPr>
        <w:t xml:space="preserve">,000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Protected </w:t>
      </w:r>
      <w:proofErr w:type="gramStart"/>
      <w:r>
        <w:rPr>
          <w:rFonts w:ascii="Times New Roman" w:hAnsi="Times New Roman" w:cs="Times New Roman"/>
        </w:rPr>
        <w:t>Holding</w:t>
      </w:r>
      <w:proofErr w:type="gramEnd"/>
      <w:r>
        <w:rPr>
          <w:rFonts w:ascii="Times New Roman" w:hAnsi="Times New Roman" w:cs="Times New Roman"/>
        </w:rPr>
        <w:t xml:space="preserve"> remaining in Novo Banco: € </w:t>
      </w:r>
      <w:r w:rsidR="00B03E64">
        <w:rPr>
          <w:rFonts w:ascii="Times New Roman" w:hAnsi="Times New Roman" w:cs="Times New Roman"/>
        </w:rPr>
        <w:t>100</w:t>
      </w:r>
      <w:r>
        <w:rPr>
          <w:rFonts w:ascii="Times New Roman" w:hAnsi="Times New Roman" w:cs="Times New Roman"/>
        </w:rPr>
        <w:t xml:space="preserve">,000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€ 0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transferred to Bad Bank BES:  € 0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remaining in Novo Banco:  € 0 </w:t>
      </w:r>
    </w:p>
    <w:p w:rsidR="008544D1"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Total holding remaining in Novo Banco:  € </w:t>
      </w:r>
      <w:r w:rsidR="00B03E64">
        <w:rPr>
          <w:rFonts w:ascii="Times New Roman" w:hAnsi="Times New Roman" w:cs="Times New Roman"/>
        </w:rPr>
        <w:t>100</w:t>
      </w:r>
      <w:r>
        <w:rPr>
          <w:rFonts w:ascii="Times New Roman" w:hAnsi="Times New Roman" w:cs="Times New Roman"/>
        </w:rPr>
        <w:t>,000 or 100% of original Novo Banco holding</w:t>
      </w:r>
    </w:p>
    <w:p w:rsidR="007641AE" w:rsidRDefault="007641AE" w:rsidP="00BD118C">
      <w:pPr>
        <w:spacing w:after="0" w:line="240" w:lineRule="auto"/>
        <w:ind w:right="288"/>
        <w:rPr>
          <w:rFonts w:ascii="Times New Roman" w:hAnsi="Times New Roman" w:cs="Times New Roman"/>
        </w:rPr>
      </w:pPr>
      <w:r>
        <w:rPr>
          <w:rFonts w:ascii="Times New Roman" w:hAnsi="Times New Roman" w:cs="Times New Roman"/>
        </w:rPr>
        <w:t>Total holding transferred to Bad Bank BES:  € 0 or 0% of original Novo Ban</w:t>
      </w:r>
      <w:r w:rsidR="00267FEB">
        <w:rPr>
          <w:rFonts w:ascii="Times New Roman" w:hAnsi="Times New Roman" w:cs="Times New Roman"/>
        </w:rPr>
        <w:t>co</w:t>
      </w:r>
      <w:r>
        <w:rPr>
          <w:rFonts w:ascii="Times New Roman" w:hAnsi="Times New Roman" w:cs="Times New Roman"/>
        </w:rPr>
        <w:t xml:space="preserve"> holding   </w:t>
      </w:r>
    </w:p>
    <w:p w:rsidR="008E5F9F" w:rsidRDefault="008E5F9F" w:rsidP="00BD118C">
      <w:pPr>
        <w:spacing w:after="0" w:line="240" w:lineRule="auto"/>
        <w:ind w:right="288"/>
        <w:rPr>
          <w:rFonts w:ascii="Times New Roman" w:hAnsi="Times New Roman" w:cs="Times New Roman"/>
        </w:rPr>
      </w:pP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2.  Large Retail Investor</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Investor holding:  € </w:t>
      </w:r>
      <w:r w:rsidR="00B03E64">
        <w:rPr>
          <w:rFonts w:ascii="Times New Roman" w:hAnsi="Times New Roman" w:cs="Times New Roman"/>
        </w:rPr>
        <w:t>4</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Protected </w:t>
      </w:r>
      <w:proofErr w:type="gramStart"/>
      <w:r>
        <w:rPr>
          <w:rFonts w:ascii="Times New Roman" w:hAnsi="Times New Roman" w:cs="Times New Roman"/>
        </w:rPr>
        <w:t>Holding</w:t>
      </w:r>
      <w:proofErr w:type="gramEnd"/>
      <w:r>
        <w:rPr>
          <w:rFonts w:ascii="Times New Roman" w:hAnsi="Times New Roman" w:cs="Times New Roman"/>
        </w:rPr>
        <w:t xml:space="preserve"> remaining in Novo Banco: € </w:t>
      </w:r>
      <w:r w:rsidR="00B03E64">
        <w:rPr>
          <w:rFonts w:ascii="Times New Roman" w:hAnsi="Times New Roman" w:cs="Times New Roman"/>
        </w:rPr>
        <w:t>2</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 </w:t>
      </w:r>
      <w:r w:rsidR="00B03E64">
        <w:rPr>
          <w:rFonts w:ascii="Times New Roman" w:hAnsi="Times New Roman" w:cs="Times New Roman"/>
        </w:rPr>
        <w:t>2</w:t>
      </w:r>
      <w:r>
        <w:rPr>
          <w:rFonts w:ascii="Times New Roman" w:hAnsi="Times New Roman" w:cs="Times New Roman"/>
        </w:rPr>
        <w:t>00,000 (</w:t>
      </w:r>
      <w:r w:rsidR="00B03E64">
        <w:rPr>
          <w:rFonts w:ascii="Times New Roman" w:hAnsi="Times New Roman" w:cs="Times New Roman"/>
        </w:rPr>
        <w:t>4</w:t>
      </w:r>
      <w:r>
        <w:rPr>
          <w:rFonts w:ascii="Times New Roman" w:hAnsi="Times New Roman" w:cs="Times New Roman"/>
        </w:rPr>
        <w:t xml:space="preserve">00,000 – </w:t>
      </w:r>
      <w:r w:rsidR="00B03E64">
        <w:rPr>
          <w:rFonts w:ascii="Times New Roman" w:hAnsi="Times New Roman" w:cs="Times New Roman"/>
        </w:rPr>
        <w:t>2</w:t>
      </w:r>
      <w:r>
        <w:rPr>
          <w:rFonts w:ascii="Times New Roman" w:hAnsi="Times New Roman" w:cs="Times New Roman"/>
        </w:rPr>
        <w:t>00,000)</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transferred to Bad Bank BES:  € </w:t>
      </w:r>
      <w:r w:rsidR="00B03E64">
        <w:rPr>
          <w:rFonts w:ascii="Times New Roman" w:hAnsi="Times New Roman" w:cs="Times New Roman"/>
        </w:rPr>
        <w:t>96</w:t>
      </w:r>
      <w:r>
        <w:rPr>
          <w:rFonts w:ascii="Times New Roman" w:hAnsi="Times New Roman" w:cs="Times New Roman"/>
        </w:rPr>
        <w:t xml:space="preserve">,000 (0.48 x </w:t>
      </w:r>
      <w:r w:rsidR="00B03E64">
        <w:rPr>
          <w:rFonts w:ascii="Times New Roman" w:hAnsi="Times New Roman" w:cs="Times New Roman"/>
        </w:rPr>
        <w:t>2</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Non-Protected Holding remaining in Novo Banco:  € </w:t>
      </w:r>
      <w:r w:rsidR="00B03E64">
        <w:rPr>
          <w:rFonts w:ascii="Times New Roman" w:hAnsi="Times New Roman" w:cs="Times New Roman"/>
        </w:rPr>
        <w:t>104</w:t>
      </w:r>
      <w:r>
        <w:rPr>
          <w:rFonts w:ascii="Times New Roman" w:hAnsi="Times New Roman" w:cs="Times New Roman"/>
        </w:rPr>
        <w:t>,000 (</w:t>
      </w:r>
      <w:r w:rsidR="00B03E64">
        <w:rPr>
          <w:rFonts w:ascii="Times New Roman" w:hAnsi="Times New Roman" w:cs="Times New Roman"/>
        </w:rPr>
        <w:t>2</w:t>
      </w:r>
      <w:r>
        <w:rPr>
          <w:rFonts w:ascii="Times New Roman" w:hAnsi="Times New Roman" w:cs="Times New Roman"/>
        </w:rPr>
        <w:t xml:space="preserve">00,000 – </w:t>
      </w:r>
      <w:r w:rsidR="00B03E64">
        <w:rPr>
          <w:rFonts w:ascii="Times New Roman" w:hAnsi="Times New Roman" w:cs="Times New Roman"/>
        </w:rPr>
        <w:t>96</w:t>
      </w:r>
      <w:r>
        <w:rPr>
          <w:rFonts w:ascii="Times New Roman" w:hAnsi="Times New Roman" w:cs="Times New Roman"/>
        </w:rPr>
        <w:t xml:space="preserve">,000)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Total holding remaining in Novo Banco:  € </w:t>
      </w:r>
      <w:r w:rsidR="00B03E64">
        <w:rPr>
          <w:rFonts w:ascii="Times New Roman" w:hAnsi="Times New Roman" w:cs="Times New Roman"/>
        </w:rPr>
        <w:t>304</w:t>
      </w:r>
      <w:r>
        <w:rPr>
          <w:rFonts w:ascii="Times New Roman" w:hAnsi="Times New Roman" w:cs="Times New Roman"/>
        </w:rPr>
        <w:t>,000 (</w:t>
      </w:r>
      <w:r w:rsidR="00B03E64">
        <w:rPr>
          <w:rFonts w:ascii="Times New Roman" w:hAnsi="Times New Roman" w:cs="Times New Roman"/>
        </w:rPr>
        <w:t>2</w:t>
      </w:r>
      <w:r>
        <w:rPr>
          <w:rFonts w:ascii="Times New Roman" w:hAnsi="Times New Roman" w:cs="Times New Roman"/>
        </w:rPr>
        <w:t xml:space="preserve">00,000 + </w:t>
      </w:r>
      <w:r w:rsidR="00B03E64">
        <w:rPr>
          <w:rFonts w:ascii="Times New Roman" w:hAnsi="Times New Roman" w:cs="Times New Roman"/>
        </w:rPr>
        <w:t>104</w:t>
      </w:r>
      <w:r>
        <w:rPr>
          <w:rFonts w:ascii="Times New Roman" w:hAnsi="Times New Roman" w:cs="Times New Roman"/>
        </w:rPr>
        <w:t xml:space="preserve">,000) or 76% of original Novo Banco holding  </w:t>
      </w:r>
    </w:p>
    <w:p w:rsidR="007641AE" w:rsidRDefault="007641AE" w:rsidP="00BD118C">
      <w:pPr>
        <w:spacing w:after="0" w:line="240" w:lineRule="auto"/>
        <w:ind w:right="288"/>
        <w:rPr>
          <w:rFonts w:ascii="Times New Roman" w:hAnsi="Times New Roman" w:cs="Times New Roman"/>
        </w:rPr>
      </w:pPr>
      <w:r>
        <w:rPr>
          <w:rFonts w:ascii="Times New Roman" w:hAnsi="Times New Roman" w:cs="Times New Roman"/>
        </w:rPr>
        <w:t>Total holding transferred to Bad Bank BES:  € 96,000 or 24% of original Novo Ban</w:t>
      </w:r>
      <w:r w:rsidR="00267FEB">
        <w:rPr>
          <w:rFonts w:ascii="Times New Roman" w:hAnsi="Times New Roman" w:cs="Times New Roman"/>
        </w:rPr>
        <w:t>co</w:t>
      </w:r>
      <w:r>
        <w:rPr>
          <w:rFonts w:ascii="Times New Roman" w:hAnsi="Times New Roman" w:cs="Times New Roman"/>
        </w:rPr>
        <w:t xml:space="preserve"> holding   </w:t>
      </w:r>
    </w:p>
    <w:p w:rsidR="008E5F9F" w:rsidRDefault="008544D1" w:rsidP="00BD118C">
      <w:pPr>
        <w:spacing w:after="0" w:line="240" w:lineRule="auto"/>
        <w:ind w:right="288"/>
        <w:rPr>
          <w:rFonts w:ascii="Times New Roman" w:hAnsi="Times New Roman" w:cs="Times New Roman"/>
        </w:rPr>
      </w:pPr>
      <w:r>
        <w:rPr>
          <w:rFonts w:ascii="Times New Roman" w:hAnsi="Times New Roman" w:cs="Times New Roman"/>
        </w:rPr>
        <w:t xml:space="preserve">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3.  Institutional Investor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Investor holding:  € 10,000,000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 xml:space="preserve">Protected </w:t>
      </w:r>
      <w:proofErr w:type="gramStart"/>
      <w:r>
        <w:rPr>
          <w:rFonts w:ascii="Times New Roman" w:hAnsi="Times New Roman" w:cs="Times New Roman"/>
        </w:rPr>
        <w:t>Holding</w:t>
      </w:r>
      <w:proofErr w:type="gramEnd"/>
      <w:r>
        <w:rPr>
          <w:rFonts w:ascii="Times New Roman" w:hAnsi="Times New Roman" w:cs="Times New Roman"/>
        </w:rPr>
        <w:t xml:space="preserve"> remaining in Novo Banco: € </w:t>
      </w:r>
      <w:r w:rsidR="00B03E64">
        <w:rPr>
          <w:rFonts w:ascii="Times New Roman" w:hAnsi="Times New Roman" w:cs="Times New Roman"/>
        </w:rPr>
        <w:t>2</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Non-Protected Holding:  € 9,</w:t>
      </w:r>
      <w:r w:rsidR="00B03E64">
        <w:rPr>
          <w:rFonts w:ascii="Times New Roman" w:hAnsi="Times New Roman" w:cs="Times New Roman"/>
        </w:rPr>
        <w:t>8</w:t>
      </w:r>
      <w:r>
        <w:rPr>
          <w:rFonts w:ascii="Times New Roman" w:hAnsi="Times New Roman" w:cs="Times New Roman"/>
        </w:rPr>
        <w:t xml:space="preserve">00,000 (10,000,000 – </w:t>
      </w:r>
      <w:r w:rsidR="00B03E64">
        <w:rPr>
          <w:rFonts w:ascii="Times New Roman" w:hAnsi="Times New Roman" w:cs="Times New Roman"/>
        </w:rPr>
        <w:t>2</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Non-Protected Holding transferred to Bad Bank BES:  € 4,7</w:t>
      </w:r>
      <w:r w:rsidR="00B03E64">
        <w:rPr>
          <w:rFonts w:ascii="Times New Roman" w:hAnsi="Times New Roman" w:cs="Times New Roman"/>
        </w:rPr>
        <w:t>04</w:t>
      </w:r>
      <w:r>
        <w:rPr>
          <w:rFonts w:ascii="Times New Roman" w:hAnsi="Times New Roman" w:cs="Times New Roman"/>
        </w:rPr>
        <w:t>,000 (0.48 x 9,</w:t>
      </w:r>
      <w:r w:rsidR="00B03E64">
        <w:rPr>
          <w:rFonts w:ascii="Times New Roman" w:hAnsi="Times New Roman" w:cs="Times New Roman"/>
        </w:rPr>
        <w:t>8</w:t>
      </w:r>
      <w:r>
        <w:rPr>
          <w:rFonts w:ascii="Times New Roman" w:hAnsi="Times New Roman" w:cs="Times New Roman"/>
        </w:rPr>
        <w:t xml:space="preserve">00,000)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Non-Protected Holding remaining in Novo Banco:  € 5,</w:t>
      </w:r>
      <w:r w:rsidR="001F0FFB">
        <w:rPr>
          <w:rFonts w:ascii="Times New Roman" w:hAnsi="Times New Roman" w:cs="Times New Roman"/>
        </w:rPr>
        <w:t>0</w:t>
      </w:r>
      <w:r w:rsidR="00B03E64">
        <w:rPr>
          <w:rFonts w:ascii="Times New Roman" w:hAnsi="Times New Roman" w:cs="Times New Roman"/>
        </w:rPr>
        <w:t>96</w:t>
      </w:r>
      <w:r>
        <w:rPr>
          <w:rFonts w:ascii="Times New Roman" w:hAnsi="Times New Roman" w:cs="Times New Roman"/>
        </w:rPr>
        <w:t>,000 (9,</w:t>
      </w:r>
      <w:r w:rsidR="00CF6D77">
        <w:rPr>
          <w:rFonts w:ascii="Times New Roman" w:hAnsi="Times New Roman" w:cs="Times New Roman"/>
        </w:rPr>
        <w:t>8</w:t>
      </w:r>
      <w:r>
        <w:rPr>
          <w:rFonts w:ascii="Times New Roman" w:hAnsi="Times New Roman" w:cs="Times New Roman"/>
        </w:rPr>
        <w:t>00,000 – 4,7</w:t>
      </w:r>
      <w:r w:rsidR="00B03E64">
        <w:rPr>
          <w:rFonts w:ascii="Times New Roman" w:hAnsi="Times New Roman" w:cs="Times New Roman"/>
        </w:rPr>
        <w:t>04</w:t>
      </w:r>
      <w:r>
        <w:rPr>
          <w:rFonts w:ascii="Times New Roman" w:hAnsi="Times New Roman" w:cs="Times New Roman"/>
        </w:rPr>
        <w:t xml:space="preserve">,000) </w:t>
      </w:r>
    </w:p>
    <w:p w:rsidR="008E5F9F" w:rsidRDefault="008E5F9F" w:rsidP="00BD118C">
      <w:pPr>
        <w:spacing w:after="0" w:line="240" w:lineRule="auto"/>
        <w:ind w:right="288"/>
        <w:rPr>
          <w:rFonts w:ascii="Times New Roman" w:hAnsi="Times New Roman" w:cs="Times New Roman"/>
        </w:rPr>
      </w:pPr>
      <w:r>
        <w:rPr>
          <w:rFonts w:ascii="Times New Roman" w:hAnsi="Times New Roman" w:cs="Times New Roman"/>
        </w:rPr>
        <w:t>Total holding remaining in Novo Banco:  € 5,</w:t>
      </w:r>
      <w:r w:rsidR="001F0FFB">
        <w:rPr>
          <w:rFonts w:ascii="Times New Roman" w:hAnsi="Times New Roman" w:cs="Times New Roman"/>
        </w:rPr>
        <w:t>2</w:t>
      </w:r>
      <w:r w:rsidR="00B03E64">
        <w:rPr>
          <w:rFonts w:ascii="Times New Roman" w:hAnsi="Times New Roman" w:cs="Times New Roman"/>
        </w:rPr>
        <w:t>96</w:t>
      </w:r>
      <w:r>
        <w:rPr>
          <w:rFonts w:ascii="Times New Roman" w:hAnsi="Times New Roman" w:cs="Times New Roman"/>
        </w:rPr>
        <w:t>,000 (</w:t>
      </w:r>
      <w:r w:rsidR="00B03E64">
        <w:rPr>
          <w:rFonts w:ascii="Times New Roman" w:hAnsi="Times New Roman" w:cs="Times New Roman"/>
        </w:rPr>
        <w:t>2</w:t>
      </w:r>
      <w:r>
        <w:rPr>
          <w:rFonts w:ascii="Times New Roman" w:hAnsi="Times New Roman" w:cs="Times New Roman"/>
        </w:rPr>
        <w:t>00,000 + 5,</w:t>
      </w:r>
      <w:r w:rsidR="00A33A95">
        <w:rPr>
          <w:rFonts w:ascii="Times New Roman" w:hAnsi="Times New Roman" w:cs="Times New Roman"/>
        </w:rPr>
        <w:t>0</w:t>
      </w:r>
      <w:r w:rsidR="00B03E64">
        <w:rPr>
          <w:rFonts w:ascii="Times New Roman" w:hAnsi="Times New Roman" w:cs="Times New Roman"/>
        </w:rPr>
        <w:t>96</w:t>
      </w:r>
      <w:r>
        <w:rPr>
          <w:rFonts w:ascii="Times New Roman" w:hAnsi="Times New Roman" w:cs="Times New Roman"/>
        </w:rPr>
        <w:t>,000) or 5</w:t>
      </w:r>
      <w:r w:rsidR="001F0FFB">
        <w:rPr>
          <w:rFonts w:ascii="Times New Roman" w:hAnsi="Times New Roman" w:cs="Times New Roman"/>
        </w:rPr>
        <w:t>3</w:t>
      </w:r>
      <w:r>
        <w:rPr>
          <w:rFonts w:ascii="Times New Roman" w:hAnsi="Times New Roman" w:cs="Times New Roman"/>
        </w:rPr>
        <w:t>% of original Novo Banco holding</w:t>
      </w:r>
    </w:p>
    <w:p w:rsidR="007641AE" w:rsidRDefault="007641AE" w:rsidP="00BD118C">
      <w:pPr>
        <w:spacing w:after="0" w:line="240" w:lineRule="auto"/>
        <w:ind w:right="288"/>
      </w:pPr>
      <w:r>
        <w:rPr>
          <w:rFonts w:ascii="Times New Roman" w:hAnsi="Times New Roman" w:cs="Times New Roman"/>
        </w:rPr>
        <w:t>Total holding transferred to Bad Bank BES:  € 4,704,000 or 47% of original Novo Ban</w:t>
      </w:r>
      <w:r w:rsidR="00267FEB">
        <w:rPr>
          <w:rFonts w:ascii="Times New Roman" w:hAnsi="Times New Roman" w:cs="Times New Roman"/>
        </w:rPr>
        <w:t>co</w:t>
      </w:r>
      <w:r>
        <w:rPr>
          <w:rFonts w:ascii="Times New Roman" w:hAnsi="Times New Roman" w:cs="Times New Roman"/>
        </w:rPr>
        <w:t xml:space="preserve"> holding   </w:t>
      </w:r>
    </w:p>
    <w:p w:rsidR="0006179B" w:rsidRDefault="0006179B"/>
    <w:sectPr w:rsidR="0006179B" w:rsidSect="00CD52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36" w:rsidRDefault="00883B36" w:rsidP="008E5F9F">
      <w:pPr>
        <w:spacing w:after="0" w:line="240" w:lineRule="auto"/>
      </w:pPr>
      <w:r>
        <w:separator/>
      </w:r>
    </w:p>
  </w:endnote>
  <w:endnote w:type="continuationSeparator" w:id="0">
    <w:p w:rsidR="00883B36" w:rsidRDefault="00883B36" w:rsidP="008E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0B" w:rsidRDefault="00CD5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50831"/>
      <w:docPartObj>
        <w:docPartGallery w:val="Page Numbers (Bottom of Page)"/>
        <w:docPartUnique/>
      </w:docPartObj>
    </w:sdtPr>
    <w:sdtEndPr>
      <w:rPr>
        <w:noProof/>
      </w:rPr>
    </w:sdtEndPr>
    <w:sdtContent>
      <w:p w:rsidR="00CD520B" w:rsidRDefault="00CD520B">
        <w:pPr>
          <w:pStyle w:val="Footer"/>
          <w:jc w:val="center"/>
        </w:pPr>
        <w:r>
          <w:fldChar w:fldCharType="begin"/>
        </w:r>
        <w:r>
          <w:instrText xml:space="preserve"> PAGE   \* MERGEFORMAT </w:instrText>
        </w:r>
        <w:r>
          <w:fldChar w:fldCharType="separate"/>
        </w:r>
        <w:r w:rsidR="00697D87">
          <w:rPr>
            <w:noProof/>
          </w:rPr>
          <w:t>3</w:t>
        </w:r>
        <w:r>
          <w:rPr>
            <w:noProof/>
          </w:rPr>
          <w:fldChar w:fldCharType="end"/>
        </w:r>
      </w:p>
    </w:sdtContent>
  </w:sdt>
  <w:p w:rsidR="00CD520B" w:rsidRDefault="00CD5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0B" w:rsidRDefault="00CD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36" w:rsidRDefault="00883B36" w:rsidP="008E5F9F">
      <w:pPr>
        <w:spacing w:after="0" w:line="240" w:lineRule="auto"/>
      </w:pPr>
      <w:r>
        <w:separator/>
      </w:r>
    </w:p>
  </w:footnote>
  <w:footnote w:type="continuationSeparator" w:id="0">
    <w:p w:rsidR="00883B36" w:rsidRDefault="00883B36" w:rsidP="008E5F9F">
      <w:pPr>
        <w:spacing w:after="0" w:line="240" w:lineRule="auto"/>
      </w:pPr>
      <w:r>
        <w:continuationSeparator/>
      </w:r>
    </w:p>
  </w:footnote>
  <w:footnote w:id="1">
    <w:p w:rsidR="008E5F9F" w:rsidRDefault="008E5F9F" w:rsidP="008E5F9F">
      <w:pPr>
        <w:pStyle w:val="FootnoteText"/>
        <w:ind w:right="288"/>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 </w:t>
      </w:r>
      <w:r w:rsidR="00B662DA">
        <w:rPr>
          <w:rFonts w:ascii="Times New Roman" w:hAnsi="Times New Roman" w:cs="Times New Roman"/>
        </w:rPr>
        <w:t>2</w:t>
      </w:r>
      <w:r>
        <w:rPr>
          <w:rFonts w:ascii="Times New Roman" w:hAnsi="Times New Roman" w:cs="Times New Roman"/>
        </w:rPr>
        <w:t xml:space="preserve">00,000 protection limit should be applied to the aggregate of the investor’s holdings across all bond issues.  However, it may be necessary to set the € </w:t>
      </w:r>
      <w:r w:rsidR="00B662DA">
        <w:rPr>
          <w:rFonts w:ascii="Times New Roman" w:hAnsi="Times New Roman" w:cs="Times New Roman"/>
        </w:rPr>
        <w:t>2</w:t>
      </w:r>
      <w:r>
        <w:rPr>
          <w:rFonts w:ascii="Times New Roman" w:hAnsi="Times New Roman" w:cs="Times New Roman"/>
        </w:rPr>
        <w:t xml:space="preserve">00,000 protection limit based upon the investor’s holdings per bond issue because of the mechanics of the settlement and clearing systems. </w:t>
      </w:r>
    </w:p>
    <w:p w:rsidR="008E5F9F" w:rsidRDefault="008E5F9F" w:rsidP="008E5F9F">
      <w:pPr>
        <w:pStyle w:val="FootnoteText"/>
        <w:ind w:right="288"/>
      </w:pPr>
    </w:p>
  </w:footnote>
  <w:footnote w:id="2">
    <w:p w:rsidR="008E5F9F" w:rsidRDefault="008E5F9F" w:rsidP="008E5F9F">
      <w:pPr>
        <w:spacing w:after="0" w:line="240" w:lineRule="auto"/>
        <w:ind w:right="288"/>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 analysis is based upon estimates of 31 December 2015 amounts derived from the Novo Banco 30 June 2015 interim financial statements. </w:t>
      </w:r>
    </w:p>
    <w:p w:rsidR="008E5F9F" w:rsidRDefault="008E5F9F" w:rsidP="008E5F9F">
      <w:pPr>
        <w:pStyle w:val="FootnoteText"/>
        <w:ind w:right="288"/>
      </w:pPr>
      <w:r>
        <w:t xml:space="preserve"> </w:t>
      </w:r>
    </w:p>
  </w:footnote>
  <w:footnote w:id="3">
    <w:p w:rsidR="00ED3E4A" w:rsidRDefault="008E5F9F" w:rsidP="00ED3E4A">
      <w:pPr>
        <w:pStyle w:val="FootnoteText"/>
        <w:ind w:right="288"/>
      </w:pPr>
      <w:r>
        <w:rPr>
          <w:rStyle w:val="FootnoteReference"/>
        </w:rPr>
        <w:footnoteRef/>
      </w:r>
      <w:r>
        <w:rPr>
          <w:rFonts w:ascii="Times New Roman" w:hAnsi="Times New Roman" w:cs="Times New Roman"/>
        </w:rPr>
        <w:t xml:space="preserve"> As of 30 June 2015, total senior unsecured bonds were € 6.6 billion.  Between 30 June 2015 and 31 December 2015, € 1.2 billion of senior unsecured bonds were redeemed</w:t>
      </w:r>
      <w:r w:rsidR="00631342">
        <w:rPr>
          <w:rFonts w:ascii="Times New Roman" w:hAnsi="Times New Roman" w:cs="Times New Roman"/>
        </w:rPr>
        <w:t xml:space="preserve"> and no senior unsecured bonds were issued.</w:t>
      </w:r>
      <w:r w:rsidR="00ED3E4A">
        <w:rPr>
          <w:rFonts w:ascii="Times New Roman" w:hAnsi="Times New Roman" w:cs="Times New Roman"/>
        </w:rPr>
        <w:t xml:space="preserve">  </w:t>
      </w:r>
      <w:r w:rsidR="00ED3E4A">
        <w:rPr>
          <w:rFonts w:ascii="Times New Roman" w:hAnsi="Times New Roman" w:cs="Times New Roman"/>
        </w:rPr>
        <w:t xml:space="preserve">It is assumed that repurchases </w:t>
      </w:r>
      <w:r w:rsidR="00B12E99">
        <w:rPr>
          <w:rFonts w:ascii="Times New Roman" w:hAnsi="Times New Roman" w:cs="Times New Roman"/>
        </w:rPr>
        <w:t xml:space="preserve">of bonds </w:t>
      </w:r>
      <w:r w:rsidR="006744B6">
        <w:rPr>
          <w:rFonts w:ascii="Times New Roman" w:hAnsi="Times New Roman" w:cs="Times New Roman"/>
        </w:rPr>
        <w:t xml:space="preserve">plus </w:t>
      </w:r>
      <w:r w:rsidR="00D660BC">
        <w:rPr>
          <w:rFonts w:ascii="Times New Roman" w:hAnsi="Times New Roman" w:cs="Times New Roman"/>
        </w:rPr>
        <w:t>movements in</w:t>
      </w:r>
      <w:r w:rsidR="00394A7D">
        <w:rPr>
          <w:rFonts w:ascii="Times New Roman" w:hAnsi="Times New Roman" w:cs="Times New Roman"/>
        </w:rPr>
        <w:t xml:space="preserve"> bo</w:t>
      </w:r>
      <w:r w:rsidR="00F47F30">
        <w:rPr>
          <w:rFonts w:ascii="Times New Roman" w:hAnsi="Times New Roman" w:cs="Times New Roman"/>
        </w:rPr>
        <w:t>nd</w:t>
      </w:r>
      <w:r w:rsidR="00394A7D">
        <w:rPr>
          <w:rFonts w:ascii="Times New Roman" w:hAnsi="Times New Roman" w:cs="Times New Roman"/>
        </w:rPr>
        <w:t xml:space="preserve"> value</w:t>
      </w:r>
      <w:r w:rsidR="00F47F30">
        <w:rPr>
          <w:rFonts w:ascii="Times New Roman" w:hAnsi="Times New Roman" w:cs="Times New Roman"/>
        </w:rPr>
        <w:t>s</w:t>
      </w:r>
      <w:r w:rsidR="00394A7D">
        <w:rPr>
          <w:rFonts w:ascii="Times New Roman" w:hAnsi="Times New Roman" w:cs="Times New Roman"/>
        </w:rPr>
        <w:t xml:space="preserve"> </w:t>
      </w:r>
      <w:r w:rsidR="00697D87">
        <w:rPr>
          <w:rFonts w:ascii="Times New Roman" w:hAnsi="Times New Roman" w:cs="Times New Roman"/>
        </w:rPr>
        <w:t xml:space="preserve">equal the </w:t>
      </w:r>
      <w:r w:rsidR="00ED3E4A">
        <w:rPr>
          <w:rFonts w:ascii="Times New Roman" w:hAnsi="Times New Roman" w:cs="Times New Roman"/>
        </w:rPr>
        <w:t xml:space="preserve">€ </w:t>
      </w:r>
      <w:r w:rsidR="00697D87">
        <w:rPr>
          <w:rFonts w:ascii="Times New Roman" w:hAnsi="Times New Roman" w:cs="Times New Roman"/>
        </w:rPr>
        <w:t>33 million of</w:t>
      </w:r>
      <w:r w:rsidR="00ED3E4A">
        <w:rPr>
          <w:rFonts w:ascii="Times New Roman" w:hAnsi="Times New Roman" w:cs="Times New Roman"/>
        </w:rPr>
        <w:t xml:space="preserve"> the</w:t>
      </w:r>
      <w:r w:rsidR="00697D87">
        <w:rPr>
          <w:rFonts w:ascii="Times New Roman" w:hAnsi="Times New Roman" w:cs="Times New Roman"/>
        </w:rPr>
        <w:t xml:space="preserve"> previous </w:t>
      </w:r>
      <w:bookmarkStart w:id="0" w:name="_GoBack"/>
      <w:bookmarkEnd w:id="0"/>
      <w:r w:rsidR="00ED3E4A">
        <w:rPr>
          <w:rFonts w:ascii="Times New Roman" w:hAnsi="Times New Roman" w:cs="Times New Roman"/>
        </w:rPr>
        <w:t xml:space="preserve">period.    </w:t>
      </w:r>
    </w:p>
    <w:p w:rsidR="008E5F9F" w:rsidRDefault="00631342" w:rsidP="008E5F9F">
      <w:pPr>
        <w:pStyle w:val="FootnoteText"/>
        <w:ind w:right="288"/>
      </w:pPr>
      <w:r>
        <w:rPr>
          <w:rFonts w:ascii="Times New Roman" w:hAnsi="Times New Roman" w:cs="Times New Roman"/>
        </w:rPr>
        <w:t xml:space="preserve">   </w:t>
      </w:r>
      <w:r w:rsidR="008E5F9F">
        <w:t xml:space="preserve"> </w:t>
      </w:r>
    </w:p>
    <w:p w:rsidR="008E5F9F" w:rsidRDefault="008E5F9F" w:rsidP="008E5F9F">
      <w:pPr>
        <w:pStyle w:val="FootnoteText"/>
        <w:ind w:right="288"/>
      </w:pPr>
    </w:p>
  </w:footnote>
  <w:footnote w:id="4">
    <w:p w:rsidR="008E5F9F" w:rsidRDefault="008E5F9F" w:rsidP="008E5F9F">
      <w:pPr>
        <w:pStyle w:val="FootnoteText"/>
        <w:ind w:right="28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Novo Banco debt securities held by clients (including large clients) is used as an estimate </w:t>
      </w:r>
      <w:r w:rsidR="00AC07FC">
        <w:rPr>
          <w:rFonts w:ascii="Times New Roman" w:hAnsi="Times New Roman" w:cs="Times New Roman"/>
        </w:rPr>
        <w:t>of</w:t>
      </w:r>
      <w:r>
        <w:rPr>
          <w:rFonts w:ascii="Times New Roman" w:hAnsi="Times New Roman" w:cs="Times New Roman"/>
        </w:rPr>
        <w:t xml:space="preserve"> Protected Holdings.  On 30 June 2015, client holdings were € 1.5 billion.  Between 30 June and 31 December 2015, € 1.2 billion of senior unsecured bonds or 19% of the total € 6.6 billion were redeemed.  If bank clients received their proportionate share of redemptions, bank clients held € 1.2 billion of debt securities as of 31 December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0B" w:rsidRDefault="00CD5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0B" w:rsidRDefault="00CD5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0B" w:rsidRDefault="00CD5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C5"/>
    <w:rsid w:val="00000FF1"/>
    <w:rsid w:val="00002723"/>
    <w:rsid w:val="00005C0E"/>
    <w:rsid w:val="00007697"/>
    <w:rsid w:val="00011CD0"/>
    <w:rsid w:val="00011F0D"/>
    <w:rsid w:val="00015082"/>
    <w:rsid w:val="00020B54"/>
    <w:rsid w:val="00020ECF"/>
    <w:rsid w:val="000300D2"/>
    <w:rsid w:val="000304E4"/>
    <w:rsid w:val="00033270"/>
    <w:rsid w:val="00036EAA"/>
    <w:rsid w:val="000407D4"/>
    <w:rsid w:val="00041B09"/>
    <w:rsid w:val="00047A34"/>
    <w:rsid w:val="000520EE"/>
    <w:rsid w:val="0005495C"/>
    <w:rsid w:val="0006179B"/>
    <w:rsid w:val="00065A92"/>
    <w:rsid w:val="00066708"/>
    <w:rsid w:val="0007452D"/>
    <w:rsid w:val="000854E4"/>
    <w:rsid w:val="00085E02"/>
    <w:rsid w:val="00094DE8"/>
    <w:rsid w:val="00096F36"/>
    <w:rsid w:val="000A29F9"/>
    <w:rsid w:val="000A314A"/>
    <w:rsid w:val="000A472C"/>
    <w:rsid w:val="000A7DE8"/>
    <w:rsid w:val="000B17F9"/>
    <w:rsid w:val="000C571E"/>
    <w:rsid w:val="000C57E5"/>
    <w:rsid w:val="000C57F2"/>
    <w:rsid w:val="000C6CF5"/>
    <w:rsid w:val="000E5389"/>
    <w:rsid w:val="000F4894"/>
    <w:rsid w:val="00104E95"/>
    <w:rsid w:val="00114284"/>
    <w:rsid w:val="00115EEC"/>
    <w:rsid w:val="00117D51"/>
    <w:rsid w:val="00121EEA"/>
    <w:rsid w:val="00124006"/>
    <w:rsid w:val="0013039C"/>
    <w:rsid w:val="0013268D"/>
    <w:rsid w:val="001433AD"/>
    <w:rsid w:val="00154E05"/>
    <w:rsid w:val="00155515"/>
    <w:rsid w:val="00163CEC"/>
    <w:rsid w:val="001671F1"/>
    <w:rsid w:val="0017168D"/>
    <w:rsid w:val="00173E29"/>
    <w:rsid w:val="00177004"/>
    <w:rsid w:val="00180D8A"/>
    <w:rsid w:val="00184AFA"/>
    <w:rsid w:val="00184B9A"/>
    <w:rsid w:val="00187765"/>
    <w:rsid w:val="00190E44"/>
    <w:rsid w:val="001A1C1D"/>
    <w:rsid w:val="001A4F7E"/>
    <w:rsid w:val="001A5315"/>
    <w:rsid w:val="001A5F75"/>
    <w:rsid w:val="001A7CA2"/>
    <w:rsid w:val="001B092E"/>
    <w:rsid w:val="001B17A3"/>
    <w:rsid w:val="001C278A"/>
    <w:rsid w:val="001C5D27"/>
    <w:rsid w:val="001C6DE8"/>
    <w:rsid w:val="001D1887"/>
    <w:rsid w:val="001E0C12"/>
    <w:rsid w:val="001E2C4C"/>
    <w:rsid w:val="001E2D6B"/>
    <w:rsid w:val="001E6777"/>
    <w:rsid w:val="001F0B13"/>
    <w:rsid w:val="001F0DD4"/>
    <w:rsid w:val="001F0FFB"/>
    <w:rsid w:val="001F100D"/>
    <w:rsid w:val="002014E9"/>
    <w:rsid w:val="00204436"/>
    <w:rsid w:val="00204DD6"/>
    <w:rsid w:val="0020694E"/>
    <w:rsid w:val="00210B8D"/>
    <w:rsid w:val="002234B8"/>
    <w:rsid w:val="00240391"/>
    <w:rsid w:val="00245E7E"/>
    <w:rsid w:val="0025585B"/>
    <w:rsid w:val="00260C0E"/>
    <w:rsid w:val="002621D6"/>
    <w:rsid w:val="002651FE"/>
    <w:rsid w:val="00267FEB"/>
    <w:rsid w:val="00280F42"/>
    <w:rsid w:val="00290A40"/>
    <w:rsid w:val="00294948"/>
    <w:rsid w:val="002965FF"/>
    <w:rsid w:val="002A2C43"/>
    <w:rsid w:val="002A5A3A"/>
    <w:rsid w:val="002A6401"/>
    <w:rsid w:val="002A6DB1"/>
    <w:rsid w:val="002A7434"/>
    <w:rsid w:val="002D0824"/>
    <w:rsid w:val="002D0FDE"/>
    <w:rsid w:val="002D1C88"/>
    <w:rsid w:val="002D39BD"/>
    <w:rsid w:val="002E56EE"/>
    <w:rsid w:val="002E6E76"/>
    <w:rsid w:val="002E75D7"/>
    <w:rsid w:val="002F57B7"/>
    <w:rsid w:val="002F603F"/>
    <w:rsid w:val="002F7EF0"/>
    <w:rsid w:val="0031261E"/>
    <w:rsid w:val="003143D6"/>
    <w:rsid w:val="00326D08"/>
    <w:rsid w:val="00342A17"/>
    <w:rsid w:val="00350094"/>
    <w:rsid w:val="0035627C"/>
    <w:rsid w:val="00361F1C"/>
    <w:rsid w:val="00362EE2"/>
    <w:rsid w:val="00365EAF"/>
    <w:rsid w:val="00367301"/>
    <w:rsid w:val="00382627"/>
    <w:rsid w:val="0038275D"/>
    <w:rsid w:val="0038428A"/>
    <w:rsid w:val="003903BC"/>
    <w:rsid w:val="00391EC0"/>
    <w:rsid w:val="003933A6"/>
    <w:rsid w:val="0039462E"/>
    <w:rsid w:val="00394A7D"/>
    <w:rsid w:val="003A2062"/>
    <w:rsid w:val="003A3CDE"/>
    <w:rsid w:val="003B04B4"/>
    <w:rsid w:val="003B28E0"/>
    <w:rsid w:val="003B73AA"/>
    <w:rsid w:val="003D0353"/>
    <w:rsid w:val="003D125C"/>
    <w:rsid w:val="003D264D"/>
    <w:rsid w:val="003E194F"/>
    <w:rsid w:val="003E7D02"/>
    <w:rsid w:val="00403767"/>
    <w:rsid w:val="00407D4D"/>
    <w:rsid w:val="0041411B"/>
    <w:rsid w:val="00414A09"/>
    <w:rsid w:val="0041770D"/>
    <w:rsid w:val="00421AD5"/>
    <w:rsid w:val="004223F8"/>
    <w:rsid w:val="00425B76"/>
    <w:rsid w:val="0043045B"/>
    <w:rsid w:val="00430933"/>
    <w:rsid w:val="004350F5"/>
    <w:rsid w:val="00436F31"/>
    <w:rsid w:val="00437E3D"/>
    <w:rsid w:val="00445E8C"/>
    <w:rsid w:val="00455CD3"/>
    <w:rsid w:val="004561B4"/>
    <w:rsid w:val="00456BC5"/>
    <w:rsid w:val="00460AB0"/>
    <w:rsid w:val="00460C8D"/>
    <w:rsid w:val="00463620"/>
    <w:rsid w:val="0047341E"/>
    <w:rsid w:val="00474346"/>
    <w:rsid w:val="00476444"/>
    <w:rsid w:val="004802A6"/>
    <w:rsid w:val="004823EC"/>
    <w:rsid w:val="00485000"/>
    <w:rsid w:val="004925EB"/>
    <w:rsid w:val="00495999"/>
    <w:rsid w:val="004A032C"/>
    <w:rsid w:val="004A521C"/>
    <w:rsid w:val="004A6907"/>
    <w:rsid w:val="004B38D6"/>
    <w:rsid w:val="004B76E8"/>
    <w:rsid w:val="004C1360"/>
    <w:rsid w:val="004C2B88"/>
    <w:rsid w:val="004C6AF1"/>
    <w:rsid w:val="004D25CD"/>
    <w:rsid w:val="004E171E"/>
    <w:rsid w:val="004E2EDA"/>
    <w:rsid w:val="004E54EA"/>
    <w:rsid w:val="004F29F5"/>
    <w:rsid w:val="004F78F6"/>
    <w:rsid w:val="00505990"/>
    <w:rsid w:val="00507022"/>
    <w:rsid w:val="005109AA"/>
    <w:rsid w:val="00514504"/>
    <w:rsid w:val="00515237"/>
    <w:rsid w:val="00517E70"/>
    <w:rsid w:val="00526719"/>
    <w:rsid w:val="00532D40"/>
    <w:rsid w:val="00533CE8"/>
    <w:rsid w:val="00541769"/>
    <w:rsid w:val="005505FD"/>
    <w:rsid w:val="005560CF"/>
    <w:rsid w:val="005747D1"/>
    <w:rsid w:val="0057514A"/>
    <w:rsid w:val="00576233"/>
    <w:rsid w:val="00576B48"/>
    <w:rsid w:val="005812FF"/>
    <w:rsid w:val="0058663C"/>
    <w:rsid w:val="005A7CA0"/>
    <w:rsid w:val="005B1752"/>
    <w:rsid w:val="005B772C"/>
    <w:rsid w:val="005B77F7"/>
    <w:rsid w:val="005C0784"/>
    <w:rsid w:val="005C164D"/>
    <w:rsid w:val="005D411C"/>
    <w:rsid w:val="005E7D53"/>
    <w:rsid w:val="00607E54"/>
    <w:rsid w:val="00613B73"/>
    <w:rsid w:val="006168FF"/>
    <w:rsid w:val="00631342"/>
    <w:rsid w:val="00631FC0"/>
    <w:rsid w:val="006339E2"/>
    <w:rsid w:val="006401D3"/>
    <w:rsid w:val="00641573"/>
    <w:rsid w:val="0064514D"/>
    <w:rsid w:val="00660524"/>
    <w:rsid w:val="006729DE"/>
    <w:rsid w:val="00672DB4"/>
    <w:rsid w:val="00673311"/>
    <w:rsid w:val="006744B6"/>
    <w:rsid w:val="00681117"/>
    <w:rsid w:val="0068258E"/>
    <w:rsid w:val="00683325"/>
    <w:rsid w:val="00684808"/>
    <w:rsid w:val="00687E32"/>
    <w:rsid w:val="00692259"/>
    <w:rsid w:val="006949EB"/>
    <w:rsid w:val="00697A93"/>
    <w:rsid w:val="00697D87"/>
    <w:rsid w:val="00697FD3"/>
    <w:rsid w:val="006A073D"/>
    <w:rsid w:val="006A1E29"/>
    <w:rsid w:val="006A2E6C"/>
    <w:rsid w:val="006A437F"/>
    <w:rsid w:val="006B2EF6"/>
    <w:rsid w:val="006C4FC3"/>
    <w:rsid w:val="006E3811"/>
    <w:rsid w:val="006E696F"/>
    <w:rsid w:val="006E72AD"/>
    <w:rsid w:val="007004E9"/>
    <w:rsid w:val="00720AC8"/>
    <w:rsid w:val="007243B2"/>
    <w:rsid w:val="0072564A"/>
    <w:rsid w:val="00732994"/>
    <w:rsid w:val="00732D38"/>
    <w:rsid w:val="00736CAA"/>
    <w:rsid w:val="00737E83"/>
    <w:rsid w:val="00744A3F"/>
    <w:rsid w:val="007522FD"/>
    <w:rsid w:val="0076253D"/>
    <w:rsid w:val="007641AE"/>
    <w:rsid w:val="00775484"/>
    <w:rsid w:val="00781EF7"/>
    <w:rsid w:val="00786D50"/>
    <w:rsid w:val="007C1F42"/>
    <w:rsid w:val="007C4913"/>
    <w:rsid w:val="007C5EF1"/>
    <w:rsid w:val="007C72A3"/>
    <w:rsid w:val="007D0731"/>
    <w:rsid w:val="007D0CE4"/>
    <w:rsid w:val="007D743C"/>
    <w:rsid w:val="007D7672"/>
    <w:rsid w:val="007E4FEA"/>
    <w:rsid w:val="007F2A74"/>
    <w:rsid w:val="007F63FC"/>
    <w:rsid w:val="007F6F17"/>
    <w:rsid w:val="007F7990"/>
    <w:rsid w:val="0081234C"/>
    <w:rsid w:val="00812BCE"/>
    <w:rsid w:val="0081588E"/>
    <w:rsid w:val="008172D9"/>
    <w:rsid w:val="00817CB9"/>
    <w:rsid w:val="0083130A"/>
    <w:rsid w:val="00835F16"/>
    <w:rsid w:val="0083685A"/>
    <w:rsid w:val="00840A4F"/>
    <w:rsid w:val="0084304D"/>
    <w:rsid w:val="00843B90"/>
    <w:rsid w:val="0084636E"/>
    <w:rsid w:val="008501ED"/>
    <w:rsid w:val="0085028B"/>
    <w:rsid w:val="008544D1"/>
    <w:rsid w:val="00861FA2"/>
    <w:rsid w:val="00862E9C"/>
    <w:rsid w:val="00864ADD"/>
    <w:rsid w:val="00870496"/>
    <w:rsid w:val="00870ADE"/>
    <w:rsid w:val="0087257B"/>
    <w:rsid w:val="00880C5B"/>
    <w:rsid w:val="00883B36"/>
    <w:rsid w:val="008A6DAD"/>
    <w:rsid w:val="008B0E0B"/>
    <w:rsid w:val="008B2E2F"/>
    <w:rsid w:val="008B51C5"/>
    <w:rsid w:val="008B7B8B"/>
    <w:rsid w:val="008C1F47"/>
    <w:rsid w:val="008C649E"/>
    <w:rsid w:val="008C6CCC"/>
    <w:rsid w:val="008D110D"/>
    <w:rsid w:val="008D321C"/>
    <w:rsid w:val="008D5669"/>
    <w:rsid w:val="008D58C5"/>
    <w:rsid w:val="008E0A6A"/>
    <w:rsid w:val="008E3492"/>
    <w:rsid w:val="008E4273"/>
    <w:rsid w:val="008E5F9F"/>
    <w:rsid w:val="008E73FD"/>
    <w:rsid w:val="008F4502"/>
    <w:rsid w:val="008F5580"/>
    <w:rsid w:val="00902C4F"/>
    <w:rsid w:val="00911959"/>
    <w:rsid w:val="00914E24"/>
    <w:rsid w:val="009168D3"/>
    <w:rsid w:val="009172D8"/>
    <w:rsid w:val="0092057F"/>
    <w:rsid w:val="00920AF3"/>
    <w:rsid w:val="0092473C"/>
    <w:rsid w:val="00925739"/>
    <w:rsid w:val="00927DB8"/>
    <w:rsid w:val="00931998"/>
    <w:rsid w:val="0094183C"/>
    <w:rsid w:val="00946E2D"/>
    <w:rsid w:val="0095244F"/>
    <w:rsid w:val="009558B5"/>
    <w:rsid w:val="00966C16"/>
    <w:rsid w:val="00972E30"/>
    <w:rsid w:val="00981450"/>
    <w:rsid w:val="0098427A"/>
    <w:rsid w:val="009879D4"/>
    <w:rsid w:val="009928B0"/>
    <w:rsid w:val="00992D8F"/>
    <w:rsid w:val="00997887"/>
    <w:rsid w:val="009A0B60"/>
    <w:rsid w:val="009A2E7D"/>
    <w:rsid w:val="009A4063"/>
    <w:rsid w:val="009A5B70"/>
    <w:rsid w:val="009A77DC"/>
    <w:rsid w:val="009B11BF"/>
    <w:rsid w:val="009B155D"/>
    <w:rsid w:val="009B54E3"/>
    <w:rsid w:val="009B67E4"/>
    <w:rsid w:val="009B7D61"/>
    <w:rsid w:val="009C463E"/>
    <w:rsid w:val="009C4709"/>
    <w:rsid w:val="009D004C"/>
    <w:rsid w:val="009D176A"/>
    <w:rsid w:val="009D2678"/>
    <w:rsid w:val="009D2B0A"/>
    <w:rsid w:val="009D4F98"/>
    <w:rsid w:val="009E0BDA"/>
    <w:rsid w:val="009E489D"/>
    <w:rsid w:val="009E5EEB"/>
    <w:rsid w:val="009F3923"/>
    <w:rsid w:val="009F5256"/>
    <w:rsid w:val="009F5AE3"/>
    <w:rsid w:val="00A05144"/>
    <w:rsid w:val="00A05A89"/>
    <w:rsid w:val="00A06788"/>
    <w:rsid w:val="00A228FC"/>
    <w:rsid w:val="00A268CA"/>
    <w:rsid w:val="00A32BBF"/>
    <w:rsid w:val="00A337CF"/>
    <w:rsid w:val="00A33A95"/>
    <w:rsid w:val="00A37F0C"/>
    <w:rsid w:val="00A45A2F"/>
    <w:rsid w:val="00A5698E"/>
    <w:rsid w:val="00A579C1"/>
    <w:rsid w:val="00A722E4"/>
    <w:rsid w:val="00A73113"/>
    <w:rsid w:val="00A748D3"/>
    <w:rsid w:val="00A756C8"/>
    <w:rsid w:val="00A760C5"/>
    <w:rsid w:val="00A7668F"/>
    <w:rsid w:val="00A77122"/>
    <w:rsid w:val="00A77558"/>
    <w:rsid w:val="00A8040D"/>
    <w:rsid w:val="00A845C3"/>
    <w:rsid w:val="00A956ED"/>
    <w:rsid w:val="00AA0335"/>
    <w:rsid w:val="00AA0D64"/>
    <w:rsid w:val="00AA3B0D"/>
    <w:rsid w:val="00AA628B"/>
    <w:rsid w:val="00AB56F1"/>
    <w:rsid w:val="00AC07FC"/>
    <w:rsid w:val="00AC7D7E"/>
    <w:rsid w:val="00AD0A72"/>
    <w:rsid w:val="00AD1052"/>
    <w:rsid w:val="00AD2961"/>
    <w:rsid w:val="00AD3E86"/>
    <w:rsid w:val="00AE46B7"/>
    <w:rsid w:val="00B03E64"/>
    <w:rsid w:val="00B04ADF"/>
    <w:rsid w:val="00B06384"/>
    <w:rsid w:val="00B111B2"/>
    <w:rsid w:val="00B121BF"/>
    <w:rsid w:val="00B12E99"/>
    <w:rsid w:val="00B156ED"/>
    <w:rsid w:val="00B16BA2"/>
    <w:rsid w:val="00B17715"/>
    <w:rsid w:val="00B20699"/>
    <w:rsid w:val="00B26AC5"/>
    <w:rsid w:val="00B304C4"/>
    <w:rsid w:val="00B336EE"/>
    <w:rsid w:val="00B37363"/>
    <w:rsid w:val="00B4274C"/>
    <w:rsid w:val="00B52AD3"/>
    <w:rsid w:val="00B53F5C"/>
    <w:rsid w:val="00B54F96"/>
    <w:rsid w:val="00B60759"/>
    <w:rsid w:val="00B612B2"/>
    <w:rsid w:val="00B635A5"/>
    <w:rsid w:val="00B6414E"/>
    <w:rsid w:val="00B64285"/>
    <w:rsid w:val="00B64396"/>
    <w:rsid w:val="00B6450F"/>
    <w:rsid w:val="00B662DA"/>
    <w:rsid w:val="00B66A42"/>
    <w:rsid w:val="00B71BC6"/>
    <w:rsid w:val="00B735D2"/>
    <w:rsid w:val="00B75FF6"/>
    <w:rsid w:val="00B81AE2"/>
    <w:rsid w:val="00B8259D"/>
    <w:rsid w:val="00B82D75"/>
    <w:rsid w:val="00B8301A"/>
    <w:rsid w:val="00B84C1E"/>
    <w:rsid w:val="00B86181"/>
    <w:rsid w:val="00B9202C"/>
    <w:rsid w:val="00B93862"/>
    <w:rsid w:val="00B947BB"/>
    <w:rsid w:val="00B95D6E"/>
    <w:rsid w:val="00B97D11"/>
    <w:rsid w:val="00BA154E"/>
    <w:rsid w:val="00BA7F36"/>
    <w:rsid w:val="00BB38D7"/>
    <w:rsid w:val="00BB3DE4"/>
    <w:rsid w:val="00BB67D9"/>
    <w:rsid w:val="00BC0320"/>
    <w:rsid w:val="00BC4BF5"/>
    <w:rsid w:val="00BC5109"/>
    <w:rsid w:val="00BC6261"/>
    <w:rsid w:val="00BD0376"/>
    <w:rsid w:val="00BD118C"/>
    <w:rsid w:val="00BD6CF9"/>
    <w:rsid w:val="00BE04C4"/>
    <w:rsid w:val="00BE146C"/>
    <w:rsid w:val="00BE42BD"/>
    <w:rsid w:val="00BE5D49"/>
    <w:rsid w:val="00BF1ED7"/>
    <w:rsid w:val="00BF4625"/>
    <w:rsid w:val="00BF7A7C"/>
    <w:rsid w:val="00C02A1A"/>
    <w:rsid w:val="00C042ED"/>
    <w:rsid w:val="00C061DD"/>
    <w:rsid w:val="00C0792A"/>
    <w:rsid w:val="00C12A93"/>
    <w:rsid w:val="00C15868"/>
    <w:rsid w:val="00C20130"/>
    <w:rsid w:val="00C221A0"/>
    <w:rsid w:val="00C24B66"/>
    <w:rsid w:val="00C3567B"/>
    <w:rsid w:val="00C45B10"/>
    <w:rsid w:val="00C50257"/>
    <w:rsid w:val="00C50629"/>
    <w:rsid w:val="00C5279B"/>
    <w:rsid w:val="00C52C7B"/>
    <w:rsid w:val="00C57224"/>
    <w:rsid w:val="00C63C2F"/>
    <w:rsid w:val="00C67EFD"/>
    <w:rsid w:val="00C71E5A"/>
    <w:rsid w:val="00C76B51"/>
    <w:rsid w:val="00C82117"/>
    <w:rsid w:val="00C82ED6"/>
    <w:rsid w:val="00C9604E"/>
    <w:rsid w:val="00CA03B0"/>
    <w:rsid w:val="00CA2BDC"/>
    <w:rsid w:val="00CB5A03"/>
    <w:rsid w:val="00CB5B8E"/>
    <w:rsid w:val="00CC6C83"/>
    <w:rsid w:val="00CD216E"/>
    <w:rsid w:val="00CD4E65"/>
    <w:rsid w:val="00CD520B"/>
    <w:rsid w:val="00CE67E3"/>
    <w:rsid w:val="00CF0AF7"/>
    <w:rsid w:val="00CF6D77"/>
    <w:rsid w:val="00CF741C"/>
    <w:rsid w:val="00D05562"/>
    <w:rsid w:val="00D078A8"/>
    <w:rsid w:val="00D07993"/>
    <w:rsid w:val="00D10E62"/>
    <w:rsid w:val="00D126E8"/>
    <w:rsid w:val="00D15BEF"/>
    <w:rsid w:val="00D21BC7"/>
    <w:rsid w:val="00D27238"/>
    <w:rsid w:val="00D301FB"/>
    <w:rsid w:val="00D34EAE"/>
    <w:rsid w:val="00D357B4"/>
    <w:rsid w:val="00D37DBD"/>
    <w:rsid w:val="00D42646"/>
    <w:rsid w:val="00D44236"/>
    <w:rsid w:val="00D447A9"/>
    <w:rsid w:val="00D57B04"/>
    <w:rsid w:val="00D6167D"/>
    <w:rsid w:val="00D61DD5"/>
    <w:rsid w:val="00D62943"/>
    <w:rsid w:val="00D64C0F"/>
    <w:rsid w:val="00D660BC"/>
    <w:rsid w:val="00D705B0"/>
    <w:rsid w:val="00D772C4"/>
    <w:rsid w:val="00D801D5"/>
    <w:rsid w:val="00D83394"/>
    <w:rsid w:val="00D9144D"/>
    <w:rsid w:val="00D9313E"/>
    <w:rsid w:val="00D93B05"/>
    <w:rsid w:val="00D96A54"/>
    <w:rsid w:val="00D96B77"/>
    <w:rsid w:val="00DA1C7C"/>
    <w:rsid w:val="00DA21CA"/>
    <w:rsid w:val="00DA42CD"/>
    <w:rsid w:val="00DC2E26"/>
    <w:rsid w:val="00DC3155"/>
    <w:rsid w:val="00DC504A"/>
    <w:rsid w:val="00DC5DA4"/>
    <w:rsid w:val="00DD0734"/>
    <w:rsid w:val="00DE4C01"/>
    <w:rsid w:val="00DE6887"/>
    <w:rsid w:val="00DF29F8"/>
    <w:rsid w:val="00DF6004"/>
    <w:rsid w:val="00E01B45"/>
    <w:rsid w:val="00E05A60"/>
    <w:rsid w:val="00E06CE8"/>
    <w:rsid w:val="00E12EF0"/>
    <w:rsid w:val="00E16176"/>
    <w:rsid w:val="00E21324"/>
    <w:rsid w:val="00E21CBD"/>
    <w:rsid w:val="00E2732F"/>
    <w:rsid w:val="00E34E58"/>
    <w:rsid w:val="00E366F0"/>
    <w:rsid w:val="00E36718"/>
    <w:rsid w:val="00E37269"/>
    <w:rsid w:val="00E405A6"/>
    <w:rsid w:val="00E46CB2"/>
    <w:rsid w:val="00E557ED"/>
    <w:rsid w:val="00E569A7"/>
    <w:rsid w:val="00E6210C"/>
    <w:rsid w:val="00E62469"/>
    <w:rsid w:val="00E63227"/>
    <w:rsid w:val="00E647A6"/>
    <w:rsid w:val="00E65CB9"/>
    <w:rsid w:val="00E6750E"/>
    <w:rsid w:val="00E6763D"/>
    <w:rsid w:val="00E81FFA"/>
    <w:rsid w:val="00E912C6"/>
    <w:rsid w:val="00E97850"/>
    <w:rsid w:val="00EA229A"/>
    <w:rsid w:val="00EA2B22"/>
    <w:rsid w:val="00EA44A9"/>
    <w:rsid w:val="00EB2D09"/>
    <w:rsid w:val="00EB3B15"/>
    <w:rsid w:val="00ED3E4A"/>
    <w:rsid w:val="00EE47FA"/>
    <w:rsid w:val="00EE4DAB"/>
    <w:rsid w:val="00EE52A1"/>
    <w:rsid w:val="00EE6AE9"/>
    <w:rsid w:val="00EF10DD"/>
    <w:rsid w:val="00EF5193"/>
    <w:rsid w:val="00EF71C9"/>
    <w:rsid w:val="00F00965"/>
    <w:rsid w:val="00F00A67"/>
    <w:rsid w:val="00F1462A"/>
    <w:rsid w:val="00F165FE"/>
    <w:rsid w:val="00F1780A"/>
    <w:rsid w:val="00F24600"/>
    <w:rsid w:val="00F25102"/>
    <w:rsid w:val="00F276EE"/>
    <w:rsid w:val="00F35523"/>
    <w:rsid w:val="00F3630D"/>
    <w:rsid w:val="00F40460"/>
    <w:rsid w:val="00F465B2"/>
    <w:rsid w:val="00F47F30"/>
    <w:rsid w:val="00F54DA8"/>
    <w:rsid w:val="00F56D32"/>
    <w:rsid w:val="00F57BB2"/>
    <w:rsid w:val="00F6102B"/>
    <w:rsid w:val="00F66510"/>
    <w:rsid w:val="00F77595"/>
    <w:rsid w:val="00F86862"/>
    <w:rsid w:val="00F86A65"/>
    <w:rsid w:val="00F92574"/>
    <w:rsid w:val="00F94D43"/>
    <w:rsid w:val="00FA6C5A"/>
    <w:rsid w:val="00FA7C44"/>
    <w:rsid w:val="00FB03AA"/>
    <w:rsid w:val="00FB1585"/>
    <w:rsid w:val="00FC260E"/>
    <w:rsid w:val="00FD0825"/>
    <w:rsid w:val="00FE1254"/>
    <w:rsid w:val="00FE27B2"/>
    <w:rsid w:val="00FF049D"/>
    <w:rsid w:val="00FF0722"/>
    <w:rsid w:val="00FF11FC"/>
    <w:rsid w:val="00FF170C"/>
    <w:rsid w:val="00FF522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AF03-3C9F-47F0-8DAF-5E68D9E6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9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F9F"/>
    <w:rPr>
      <w:sz w:val="20"/>
      <w:szCs w:val="20"/>
    </w:rPr>
  </w:style>
  <w:style w:type="character" w:styleId="FootnoteReference">
    <w:name w:val="footnote reference"/>
    <w:basedOn w:val="DefaultParagraphFont"/>
    <w:uiPriority w:val="99"/>
    <w:semiHidden/>
    <w:unhideWhenUsed/>
    <w:rsid w:val="008E5F9F"/>
    <w:rPr>
      <w:vertAlign w:val="superscript"/>
    </w:rPr>
  </w:style>
  <w:style w:type="paragraph" w:styleId="Header">
    <w:name w:val="header"/>
    <w:basedOn w:val="Normal"/>
    <w:link w:val="HeaderChar"/>
    <w:uiPriority w:val="99"/>
    <w:unhideWhenUsed/>
    <w:rsid w:val="00CD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0B"/>
  </w:style>
  <w:style w:type="paragraph" w:styleId="Footer">
    <w:name w:val="footer"/>
    <w:basedOn w:val="Normal"/>
    <w:link w:val="FooterChar"/>
    <w:uiPriority w:val="99"/>
    <w:unhideWhenUsed/>
    <w:rsid w:val="00CD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3208">
      <w:bodyDiv w:val="1"/>
      <w:marLeft w:val="0"/>
      <w:marRight w:val="0"/>
      <w:marTop w:val="0"/>
      <w:marBottom w:val="0"/>
      <w:divBdr>
        <w:top w:val="none" w:sz="0" w:space="0" w:color="auto"/>
        <w:left w:val="none" w:sz="0" w:space="0" w:color="auto"/>
        <w:bottom w:val="none" w:sz="0" w:space="0" w:color="auto"/>
        <w:right w:val="none" w:sz="0" w:space="0" w:color="auto"/>
      </w:divBdr>
    </w:div>
    <w:div w:id="20168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5BE3-F10F-4B7E-BC5D-944BBE1B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ALerrick</dc:creator>
  <cp:keywords/>
  <dc:description/>
  <cp:lastModifiedBy>ALerrick</cp:lastModifiedBy>
  <cp:revision>44</cp:revision>
  <cp:lastPrinted>2016-01-27T03:54:00Z</cp:lastPrinted>
  <dcterms:created xsi:type="dcterms:W3CDTF">2016-01-20T08:43:00Z</dcterms:created>
  <dcterms:modified xsi:type="dcterms:W3CDTF">2016-01-27T13:01:00Z</dcterms:modified>
</cp:coreProperties>
</file>