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90A" w:rsidRPr="00E1790A" w:rsidRDefault="00E1790A" w:rsidP="00E1790A">
      <w:pPr>
        <w:rPr>
          <w:b/>
        </w:rPr>
      </w:pPr>
      <w:r w:rsidRPr="00E1790A">
        <w:rPr>
          <w:b/>
        </w:rPr>
        <w:t xml:space="preserve">S&amp;P’s Sovereign Ratings </w:t>
      </w:r>
      <w:r w:rsidR="00F22802">
        <w:rPr>
          <w:b/>
        </w:rPr>
        <w:t>Have No</w:t>
      </w:r>
      <w:r w:rsidRPr="00E1790A">
        <w:rPr>
          <w:b/>
        </w:rPr>
        <w:t xml:space="preserve"> “Home Bias”</w:t>
      </w:r>
    </w:p>
    <w:p w:rsidR="00DD0B3C" w:rsidRDefault="0082139F" w:rsidP="00E1790A">
      <w:r>
        <w:t xml:space="preserve">Two </w:t>
      </w:r>
      <w:r w:rsidR="00E1790A">
        <w:t>University of Heidelberg</w:t>
      </w:r>
      <w:r w:rsidR="00AC1A95">
        <w:t xml:space="preserve"> </w:t>
      </w:r>
      <w:r>
        <w:t xml:space="preserve">academics, Andreas Fuchs and Kai Gehring, </w:t>
      </w:r>
      <w:r w:rsidR="00E1790A">
        <w:t>claim to have d</w:t>
      </w:r>
      <w:r>
        <w:t xml:space="preserve">iscovered a </w:t>
      </w:r>
      <w:r w:rsidR="00E1790A">
        <w:t>“home bias” in sovereign ratings assigned by nine ratings agencies headquartered in six different countries</w:t>
      </w:r>
      <w:r w:rsidR="00F22802">
        <w:t>.</w:t>
      </w:r>
      <w:r w:rsidR="00DC17C2">
        <w:t xml:space="preserve"> </w:t>
      </w:r>
      <w:r>
        <w:t>The</w:t>
      </w:r>
      <w:r w:rsidR="004C6EED">
        <w:t xml:space="preserve"> authors</w:t>
      </w:r>
      <w:r>
        <w:t xml:space="preserve"> further claim that this “home bias” is </w:t>
      </w:r>
      <w:r w:rsidR="004B1C1E">
        <w:t>why</w:t>
      </w:r>
      <w:r>
        <w:t xml:space="preserve"> </w:t>
      </w:r>
      <w:r w:rsidR="00F22802">
        <w:t>Standard &amp; Poor’s</w:t>
      </w:r>
      <w:r>
        <w:t xml:space="preserve">, </w:t>
      </w:r>
      <w:r w:rsidR="00AD1904">
        <w:t xml:space="preserve">despite </w:t>
      </w:r>
      <w:r>
        <w:t>its</w:t>
      </w:r>
      <w:r w:rsidR="00AD1904">
        <w:t xml:space="preserve"> </w:t>
      </w:r>
      <w:r w:rsidR="004C6EED">
        <w:t xml:space="preserve">2011 </w:t>
      </w:r>
      <w:r w:rsidR="00AD1904">
        <w:t>downgrade</w:t>
      </w:r>
      <w:r w:rsidR="002840DE">
        <w:t xml:space="preserve"> of the United States,</w:t>
      </w:r>
      <w:r w:rsidR="00AD1904">
        <w:t xml:space="preserve"> </w:t>
      </w:r>
      <w:r w:rsidR="005B5A3A">
        <w:t>hasn’t</w:t>
      </w:r>
      <w:r>
        <w:t xml:space="preserve"> </w:t>
      </w:r>
      <w:r w:rsidR="00E84665">
        <w:t xml:space="preserve">since </w:t>
      </w:r>
      <w:r>
        <w:t>lower</w:t>
      </w:r>
      <w:r w:rsidR="00CD4C0A">
        <w:t>ed</w:t>
      </w:r>
      <w:r>
        <w:t xml:space="preserve"> </w:t>
      </w:r>
      <w:r w:rsidR="004B1C1E">
        <w:t xml:space="preserve">its rating </w:t>
      </w:r>
      <w:r w:rsidR="00DD0B3C">
        <w:t>to the level the</w:t>
      </w:r>
      <w:r w:rsidR="004C6EED">
        <w:t>y</w:t>
      </w:r>
      <w:r w:rsidR="004B1C1E">
        <w:t xml:space="preserve"> </w:t>
      </w:r>
      <w:r w:rsidR="00E84665">
        <w:t>deem</w:t>
      </w:r>
      <w:r w:rsidR="004B1C1E">
        <w:t xml:space="preserve"> </w:t>
      </w:r>
      <w:r w:rsidR="00E476F3">
        <w:t>appropriate</w:t>
      </w:r>
      <w:r w:rsidR="00DD0B3C">
        <w:t>.</w:t>
      </w:r>
    </w:p>
    <w:p w:rsidR="00771EE8" w:rsidRDefault="00606325" w:rsidP="00F85BC2">
      <w:r>
        <w:t>W</w:t>
      </w:r>
      <w:r w:rsidR="00F22802">
        <w:t>e</w:t>
      </w:r>
      <w:r w:rsidR="00E1790A">
        <w:t xml:space="preserve"> </w:t>
      </w:r>
      <w:r w:rsidR="00E476F3">
        <w:t>dispute</w:t>
      </w:r>
      <w:r w:rsidR="002C2182">
        <w:t xml:space="preserve"> the</w:t>
      </w:r>
      <w:r w:rsidR="0082139F">
        <w:t xml:space="preserve"> </w:t>
      </w:r>
      <w:r w:rsidR="006103D4">
        <w:t>authors’ findings as well as their methodology. Standard &amp; Poor’s ratings display no “home bias”—</w:t>
      </w:r>
      <w:r w:rsidR="00CD4C0A">
        <w:t xml:space="preserve"> as an international rating agency with offices in </w:t>
      </w:r>
      <w:r w:rsidR="004C6EED">
        <w:t xml:space="preserve">major cities and </w:t>
      </w:r>
      <w:r w:rsidR="00CD4C0A">
        <w:t>capital</w:t>
      </w:r>
      <w:r w:rsidR="004C6EED">
        <w:t>s</w:t>
      </w:r>
      <w:r w:rsidR="00CD4C0A">
        <w:t xml:space="preserve"> of over twenty countries, </w:t>
      </w:r>
      <w:r w:rsidR="006103D4">
        <w:t xml:space="preserve">we apply the same criteria to each of the </w:t>
      </w:r>
      <w:r w:rsidR="007D4ABE">
        <w:t>128</w:t>
      </w:r>
      <w:r w:rsidR="006103D4">
        <w:t xml:space="preserve"> sovereigns we rate without </w:t>
      </w:r>
      <w:r w:rsidR="0080304C">
        <w:t>exception</w:t>
      </w:r>
      <w:r w:rsidR="006103D4">
        <w:t xml:space="preserve">. </w:t>
      </w:r>
      <w:r w:rsidR="007D4ABE">
        <w:t xml:space="preserve">Our publicly available ratings transition statistics </w:t>
      </w:r>
      <w:r w:rsidR="007A45BE">
        <w:t>demonstrate that sovereign ratings work well in ranking relative probabilities of default.</w:t>
      </w:r>
      <w:r w:rsidR="007D4ABE">
        <w:t xml:space="preserve"> </w:t>
      </w:r>
      <w:r w:rsidR="00771EE8">
        <w:t xml:space="preserve">Indeed, no less </w:t>
      </w:r>
      <w:r w:rsidR="00CD4C0A">
        <w:t xml:space="preserve">an </w:t>
      </w:r>
      <w:r w:rsidR="00AC1A95">
        <w:t xml:space="preserve">institution </w:t>
      </w:r>
      <w:r w:rsidR="00771EE8">
        <w:t xml:space="preserve">than the IMF found our sovereign ratings to be a reliable predictor of sovereign default. </w:t>
      </w:r>
    </w:p>
    <w:p w:rsidR="00606325" w:rsidRDefault="00596463" w:rsidP="00F85BC2">
      <w:r>
        <w:t xml:space="preserve">In part, </w:t>
      </w:r>
      <w:r w:rsidR="00CD4C0A">
        <w:t xml:space="preserve">a major </w:t>
      </w:r>
      <w:r>
        <w:t>difference between the authors’ approach and Standard &amp; Poor’s (and that of other rating agencies</w:t>
      </w:r>
      <w:r w:rsidR="00CD4C0A">
        <w:t>)</w:t>
      </w:r>
      <w:r>
        <w:t xml:space="preserve"> is that</w:t>
      </w:r>
      <w:r w:rsidR="00CD4C0A">
        <w:t>,</w:t>
      </w:r>
      <w:r>
        <w:t xml:space="preserve"> in contrast to the authors’ backward looking analysis, Standard &amp; Poor’s sovereign ratings offer an opinion about future creditworthiness. It is, therefore, not surprising that </w:t>
      </w:r>
      <w:r w:rsidR="00CD4C0A">
        <w:t xml:space="preserve">the authors’ </w:t>
      </w:r>
      <w:r w:rsidR="00802386">
        <w:t xml:space="preserve">“home bias” </w:t>
      </w:r>
      <w:r w:rsidR="00606325">
        <w:t>conclusion is based on a</w:t>
      </w:r>
      <w:r w:rsidR="002C2182">
        <w:t xml:space="preserve"> </w:t>
      </w:r>
      <w:r w:rsidR="00802386">
        <w:t xml:space="preserve">rating </w:t>
      </w:r>
      <w:r w:rsidR="00606325">
        <w:t>algorithm</w:t>
      </w:r>
      <w:r w:rsidR="002C2182">
        <w:t xml:space="preserve"> that </w:t>
      </w:r>
      <w:r w:rsidR="00802386">
        <w:t xml:space="preserve">fails to </w:t>
      </w:r>
      <w:r w:rsidR="002C2182">
        <w:t xml:space="preserve">reflect </w:t>
      </w:r>
      <w:r w:rsidR="004B1C1E">
        <w:t xml:space="preserve">important </w:t>
      </w:r>
      <w:r w:rsidR="00606325">
        <w:t xml:space="preserve">subtleties of </w:t>
      </w:r>
      <w:r>
        <w:t xml:space="preserve">future </w:t>
      </w:r>
      <w:r w:rsidR="00606325">
        <w:t>sovereign behavior</w:t>
      </w:r>
      <w:r>
        <w:t>, and th</w:t>
      </w:r>
      <w:r w:rsidR="0080304C">
        <w:t>i</w:t>
      </w:r>
      <w:r>
        <w:t>s speak</w:t>
      </w:r>
      <w:r w:rsidR="0080304C">
        <w:t>s</w:t>
      </w:r>
      <w:r>
        <w:t xml:space="preserve"> directly to the credibility of the authors’ conclusions</w:t>
      </w:r>
      <w:r w:rsidR="00606325">
        <w:t>.</w:t>
      </w:r>
      <w:r w:rsidR="002C2182">
        <w:t xml:space="preserve"> </w:t>
      </w:r>
      <w:r w:rsidR="00CD4C0A">
        <w:t xml:space="preserve">One </w:t>
      </w:r>
      <w:r w:rsidR="0026012A">
        <w:t xml:space="preserve">striking </w:t>
      </w:r>
      <w:r w:rsidR="004C6EED">
        <w:t xml:space="preserve">deficiency is </w:t>
      </w:r>
      <w:r w:rsidR="002C2182">
        <w:t>th</w:t>
      </w:r>
      <w:r>
        <w:t xml:space="preserve">e algorithm’s failure to account for </w:t>
      </w:r>
      <w:r w:rsidR="002C2182">
        <w:t xml:space="preserve">monetary flexibility—a </w:t>
      </w:r>
      <w:r w:rsidR="004B1C1E">
        <w:t>fundamental</w:t>
      </w:r>
      <w:r w:rsidR="002C2182">
        <w:t xml:space="preserve"> component of sovereign credit analysis and one of the credit strengths of the United States</w:t>
      </w:r>
      <w:r w:rsidR="004B1C1E">
        <w:t xml:space="preserve">’ status </w:t>
      </w:r>
      <w:r w:rsidR="002C2182">
        <w:t xml:space="preserve">as </w:t>
      </w:r>
      <w:r w:rsidR="004B1C1E">
        <w:t xml:space="preserve">custodian </w:t>
      </w:r>
      <w:r w:rsidR="002C2182">
        <w:t>of the dollar, the world’s leading reserve currency</w:t>
      </w:r>
      <w:r>
        <w:t>.</w:t>
      </w:r>
    </w:p>
    <w:p w:rsidR="00771EE8" w:rsidRDefault="008C30C6" w:rsidP="00606325">
      <w:r>
        <w:t>As important as their algorithm’s lack of sensitivity is the authors’ failure to explain why</w:t>
      </w:r>
      <w:r w:rsidR="004C6EED">
        <w:t xml:space="preserve"> it</w:t>
      </w:r>
      <w:r w:rsidR="00CD4C0A">
        <w:t xml:space="preserve"> is better </w:t>
      </w:r>
      <w:r>
        <w:t xml:space="preserve">than </w:t>
      </w:r>
      <w:r w:rsidR="00CD4C0A">
        <w:t xml:space="preserve">the </w:t>
      </w:r>
      <w:r>
        <w:t xml:space="preserve">methodologies </w:t>
      </w:r>
      <w:r w:rsidR="00CD4C0A">
        <w:t xml:space="preserve">of </w:t>
      </w:r>
      <w:r>
        <w:t xml:space="preserve">the agencies </w:t>
      </w:r>
      <w:r w:rsidR="00771EE8">
        <w:t xml:space="preserve">the authors </w:t>
      </w:r>
      <w:r w:rsidR="00CD4C0A">
        <w:t xml:space="preserve">claim </w:t>
      </w:r>
      <w:r w:rsidR="00771EE8">
        <w:t>to investigate</w:t>
      </w:r>
      <w:r>
        <w:t xml:space="preserve">. Standard &amp; Poor’s, for example, </w:t>
      </w:r>
      <w:r w:rsidR="00771EE8">
        <w:t xml:space="preserve">has gone to </w:t>
      </w:r>
      <w:r w:rsidR="00596463">
        <w:t xml:space="preserve">considerable </w:t>
      </w:r>
      <w:r w:rsidR="00AC1A95">
        <w:t xml:space="preserve">lengths </w:t>
      </w:r>
      <w:r w:rsidR="00596463">
        <w:t xml:space="preserve">in the name of transparency </w:t>
      </w:r>
      <w:r w:rsidR="00771EE8">
        <w:t xml:space="preserve">to </w:t>
      </w:r>
      <w:r>
        <w:t>select and weigh the qualitative and quantitative key factors on which it bases its sovereign ratings</w:t>
      </w:r>
      <w:r w:rsidR="00596463">
        <w:t xml:space="preserve">. </w:t>
      </w:r>
      <w:r w:rsidR="00AC1A95">
        <w:t xml:space="preserve">We </w:t>
      </w:r>
      <w:r w:rsidR="00771EE8">
        <w:t xml:space="preserve">explain </w:t>
      </w:r>
      <w:r w:rsidR="004C6EED">
        <w:t>our</w:t>
      </w:r>
      <w:r w:rsidR="00771EE8">
        <w:t xml:space="preserve"> thinking in numerous criteria publications, commentaries, “requests for comment” and </w:t>
      </w:r>
      <w:r w:rsidR="004C6EED">
        <w:t xml:space="preserve">in </w:t>
      </w:r>
      <w:r w:rsidR="00771EE8">
        <w:t>sovereign ratings analyses.</w:t>
      </w:r>
      <w:r w:rsidR="00CD4C0A">
        <w:t xml:space="preserve"> The authors provide no such </w:t>
      </w:r>
      <w:r w:rsidR="00E84665">
        <w:t xml:space="preserve">explanations or rationale </w:t>
      </w:r>
      <w:r w:rsidR="00CD4C0A">
        <w:t>for their algorithm.</w:t>
      </w:r>
      <w:r w:rsidR="00771EE8">
        <w:t xml:space="preserve"> </w:t>
      </w:r>
    </w:p>
    <w:p w:rsidR="00606325" w:rsidRDefault="00771EE8" w:rsidP="00606325">
      <w:r>
        <w:t>By contrast, the</w:t>
      </w:r>
      <w:r w:rsidR="004C6EED">
        <w:t>y</w:t>
      </w:r>
      <w:r w:rsidR="00596463">
        <w:t xml:space="preserve"> rely on a “smoking gun”: </w:t>
      </w:r>
      <w:r w:rsidR="00BA283E">
        <w:t xml:space="preserve">because the rating </w:t>
      </w:r>
      <w:r w:rsidR="007A45BE">
        <w:t xml:space="preserve">for the U.S. </w:t>
      </w:r>
      <w:r w:rsidR="00BA283E">
        <w:t xml:space="preserve">produced by their algorithm </w:t>
      </w:r>
      <w:r w:rsidR="007A45BE">
        <w:t xml:space="preserve">is one notch </w:t>
      </w:r>
      <w:r w:rsidR="00BA283E">
        <w:t>lower</w:t>
      </w:r>
      <w:r w:rsidR="00596463">
        <w:t xml:space="preserve"> </w:t>
      </w:r>
      <w:r w:rsidR="007A45BE">
        <w:t>than the rating assigned by S&amp;P</w:t>
      </w:r>
      <w:r w:rsidR="00BA283E">
        <w:t>, the</w:t>
      </w:r>
      <w:r>
        <w:t>re must be “home bias”</w:t>
      </w:r>
      <w:r w:rsidR="004C6EED">
        <w:t xml:space="preserve">. There is no </w:t>
      </w:r>
      <w:r w:rsidR="00BA283E">
        <w:t xml:space="preserve">attempt </w:t>
      </w:r>
      <w:r>
        <w:t>at explanation or justification</w:t>
      </w:r>
      <w:r w:rsidR="0080304C">
        <w:t>—</w:t>
      </w:r>
      <w:r>
        <w:t xml:space="preserve">except </w:t>
      </w:r>
      <w:r w:rsidR="004C6EED">
        <w:t xml:space="preserve">for </w:t>
      </w:r>
      <w:r>
        <w:t>what can only be described as conspira</w:t>
      </w:r>
      <w:r w:rsidR="004C6EED">
        <w:t>cy theories</w:t>
      </w:r>
      <w:r w:rsidR="00BA283E">
        <w:t xml:space="preserve">. </w:t>
      </w:r>
      <w:r w:rsidR="0080304C">
        <w:t xml:space="preserve"> </w:t>
      </w:r>
    </w:p>
    <w:p w:rsidR="00E768E5" w:rsidRDefault="00BB18B4" w:rsidP="00DC17C2">
      <w:r>
        <w:t>The</w:t>
      </w:r>
      <w:r w:rsidR="00F70A21">
        <w:t xml:space="preserve"> authors </w:t>
      </w:r>
      <w:r w:rsidR="00596463">
        <w:t xml:space="preserve">imaginatively </w:t>
      </w:r>
      <w:r w:rsidR="00F70A21">
        <w:t>claim</w:t>
      </w:r>
      <w:r w:rsidR="00596463">
        <w:t xml:space="preserve">, without adducing </w:t>
      </w:r>
      <w:r w:rsidR="00BD79D8">
        <w:t>any</w:t>
      </w:r>
      <w:r w:rsidR="00596463">
        <w:t xml:space="preserve"> </w:t>
      </w:r>
      <w:proofErr w:type="gramStart"/>
      <w:r w:rsidR="00596463">
        <w:t>evidence,</w:t>
      </w:r>
      <w:r w:rsidR="00F70A21">
        <w:t xml:space="preserve"> that</w:t>
      </w:r>
      <w:proofErr w:type="gramEnd"/>
      <w:r w:rsidR="00F70A21">
        <w:t xml:space="preserve"> “home bias” is caused </w:t>
      </w:r>
      <w:r w:rsidR="005B5A3A">
        <w:t>by fear</w:t>
      </w:r>
      <w:r w:rsidR="00F22802">
        <w:t xml:space="preserve"> of legal </w:t>
      </w:r>
      <w:r w:rsidR="00F70A21">
        <w:t>actions</w:t>
      </w:r>
      <w:r w:rsidR="00F22802">
        <w:t xml:space="preserve"> or the withdrawal of </w:t>
      </w:r>
      <w:r w:rsidR="00DC17C2">
        <w:t xml:space="preserve">the </w:t>
      </w:r>
      <w:r w:rsidR="00F70A21">
        <w:t xml:space="preserve">rating agency’s </w:t>
      </w:r>
      <w:r w:rsidR="00F22802">
        <w:t>regulatory approval</w:t>
      </w:r>
      <w:r w:rsidR="00F70A21">
        <w:t xml:space="preserve"> by the home country</w:t>
      </w:r>
      <w:r w:rsidR="000426EA">
        <w:t xml:space="preserve">. </w:t>
      </w:r>
      <w:r>
        <w:t xml:space="preserve">This is </w:t>
      </w:r>
      <w:r w:rsidR="00F70A21">
        <w:t>wrong</w:t>
      </w:r>
      <w:r w:rsidR="00596463">
        <w:t>,</w:t>
      </w:r>
      <w:r w:rsidR="00F70A21">
        <w:t xml:space="preserve"> </w:t>
      </w:r>
      <w:r>
        <w:t xml:space="preserve">as is their claim that </w:t>
      </w:r>
      <w:r w:rsidR="00DC17C2">
        <w:t>analysts’ judgment may be blurred by “national sentiments” or even “patriotic loyalty”</w:t>
      </w:r>
      <w:r>
        <w:t>.</w:t>
      </w:r>
      <w:r w:rsidR="00DC17C2">
        <w:t xml:space="preserve"> </w:t>
      </w:r>
    </w:p>
    <w:p w:rsidR="0080304C" w:rsidRDefault="00E768E5" w:rsidP="00DC17C2">
      <w:r>
        <w:t xml:space="preserve">Sovereign rating committees are composed of analysts of </w:t>
      </w:r>
      <w:r w:rsidR="000E1CA2">
        <w:t xml:space="preserve">many </w:t>
      </w:r>
      <w:r>
        <w:t xml:space="preserve">different nationalities who live </w:t>
      </w:r>
      <w:r w:rsidR="000E1CA2">
        <w:t xml:space="preserve">and work </w:t>
      </w:r>
      <w:r>
        <w:t>all over the world. Their common link is their desire to apply Standard &amp; Poor’s criteria fairly and in an even</w:t>
      </w:r>
      <w:r w:rsidR="00A2190E">
        <w:t>-</w:t>
      </w:r>
      <w:r>
        <w:t>handed manner. These analysts are bound by</w:t>
      </w:r>
      <w:r w:rsidR="00F70A21">
        <w:t xml:space="preserve"> a Code of Conduct that requires them to </w:t>
      </w:r>
      <w:r w:rsidR="003F662F">
        <w:t xml:space="preserve">follow </w:t>
      </w:r>
      <w:r>
        <w:t xml:space="preserve">company </w:t>
      </w:r>
      <w:r w:rsidR="003F662F">
        <w:t>policies</w:t>
      </w:r>
      <w:r>
        <w:t xml:space="preserve">, </w:t>
      </w:r>
      <w:r w:rsidR="003F662F">
        <w:t>procedures</w:t>
      </w:r>
      <w:r>
        <w:t xml:space="preserve"> </w:t>
      </w:r>
      <w:r w:rsidR="003F662F">
        <w:t xml:space="preserve">and </w:t>
      </w:r>
      <w:r w:rsidR="00F70A21">
        <w:t>ratings criteria</w:t>
      </w:r>
      <w:r>
        <w:t xml:space="preserve"> and to report deviations.</w:t>
      </w:r>
      <w:r w:rsidR="006103D4">
        <w:t xml:space="preserve"> </w:t>
      </w:r>
      <w:r w:rsidR="000E1CA2">
        <w:t xml:space="preserve">Before committees are commenced, chairpersons ask participants to declare conflicts of interest. </w:t>
      </w:r>
    </w:p>
    <w:p w:rsidR="008872BE" w:rsidRDefault="00E84665" w:rsidP="00DC17C2">
      <w:r>
        <w:t>Apart from th</w:t>
      </w:r>
      <w:r w:rsidR="0080304C">
        <w:t>e</w:t>
      </w:r>
      <w:r>
        <w:t>se formal safeguards, c</w:t>
      </w:r>
      <w:r w:rsidR="006103D4">
        <w:t xml:space="preserve">ommittee discussions are wide ranging and </w:t>
      </w:r>
      <w:r w:rsidR="000E1CA2">
        <w:t>lively</w:t>
      </w:r>
      <w:r w:rsidR="00FB3DFF">
        <w:t xml:space="preserve">—while open to others’ views, </w:t>
      </w:r>
      <w:r w:rsidR="000E1CA2">
        <w:t xml:space="preserve">committee participants </w:t>
      </w:r>
      <w:r w:rsidR="00FB3DFF">
        <w:t xml:space="preserve">are not afraid of </w:t>
      </w:r>
      <w:r w:rsidR="00AC1A95">
        <w:t xml:space="preserve">advocating </w:t>
      </w:r>
      <w:r w:rsidR="00FB3DFF">
        <w:t>and defending their own</w:t>
      </w:r>
      <w:r w:rsidR="006103D4">
        <w:t>.</w:t>
      </w:r>
      <w:r w:rsidR="000A2CA4">
        <w:t xml:space="preserve"> </w:t>
      </w:r>
      <w:r w:rsidR="00FB3DFF">
        <w:t>“</w:t>
      </w:r>
      <w:r>
        <w:t>Going soft</w:t>
      </w:r>
      <w:r w:rsidR="00FB3DFF">
        <w:t>”</w:t>
      </w:r>
      <w:r>
        <w:t xml:space="preserve"> </w:t>
      </w:r>
      <w:r>
        <w:lastRenderedPageBreak/>
        <w:t xml:space="preserve">on a sovereign for reasons of “home bias” would expose </w:t>
      </w:r>
      <w:r w:rsidR="00FB3DFF">
        <w:t xml:space="preserve">any </w:t>
      </w:r>
      <w:r>
        <w:t xml:space="preserve">proponent of that idea to </w:t>
      </w:r>
      <w:r w:rsidR="00BD79D8">
        <w:t>strong criticism</w:t>
      </w:r>
      <w:r>
        <w:t xml:space="preserve">. </w:t>
      </w:r>
      <w:r w:rsidR="005B5A3A">
        <w:t>I</w:t>
      </w:r>
      <w:r w:rsidR="0000185E">
        <w:t>n sum</w:t>
      </w:r>
      <w:r w:rsidR="0080304C">
        <w:t>mary</w:t>
      </w:r>
      <w:r w:rsidR="005B5A3A">
        <w:t xml:space="preserve">, attendees of a Standard &amp; Poor's sovereign committee would </w:t>
      </w:r>
      <w:r w:rsidR="00BD79D8">
        <w:t xml:space="preserve">not in any way recognize </w:t>
      </w:r>
      <w:r w:rsidR="005B5A3A">
        <w:t>the authors’ claim of institutional partiality or “home bias”</w:t>
      </w:r>
      <w:r w:rsidR="004C6EED">
        <w:t>.</w:t>
      </w:r>
    </w:p>
    <w:p w:rsidR="000A2CA4" w:rsidRDefault="006103D4" w:rsidP="00DC17C2">
      <w:bookmarkStart w:id="0" w:name="_GoBack"/>
      <w:bookmarkEnd w:id="0"/>
      <w:r w:rsidRPr="00A2190E">
        <w:t xml:space="preserve">Similarly </w:t>
      </w:r>
      <w:r w:rsidR="00BD79D8" w:rsidRPr="00A2190E">
        <w:t>incorrect</w:t>
      </w:r>
      <w:r w:rsidRPr="00A2190E">
        <w:t xml:space="preserve"> is the</w:t>
      </w:r>
      <w:r w:rsidR="000A2CA4" w:rsidRPr="00A2190E">
        <w:t xml:space="preserve"> </w:t>
      </w:r>
      <w:r w:rsidRPr="00A2190E">
        <w:t xml:space="preserve">claim </w:t>
      </w:r>
      <w:r w:rsidR="00AD1904" w:rsidRPr="00A2190E">
        <w:t xml:space="preserve">that </w:t>
      </w:r>
      <w:r w:rsidR="000A2CA4" w:rsidRPr="00A2190E">
        <w:t xml:space="preserve">a chair </w:t>
      </w:r>
      <w:r w:rsidRPr="00A2190E">
        <w:t xml:space="preserve">can </w:t>
      </w:r>
      <w:r w:rsidR="00AD1904" w:rsidRPr="00A2190E">
        <w:t xml:space="preserve">“overturn” </w:t>
      </w:r>
      <w:r w:rsidRPr="00A2190E">
        <w:t xml:space="preserve">rating outcomes. </w:t>
      </w:r>
      <w:r w:rsidR="00F52B9A" w:rsidRPr="00A2190E">
        <w:t xml:space="preserve">At </w:t>
      </w:r>
      <w:r w:rsidR="007A45BE" w:rsidRPr="00A2190E">
        <w:t>S&amp;P</w:t>
      </w:r>
      <w:r w:rsidR="00F52B9A" w:rsidRPr="00A2190E">
        <w:t xml:space="preserve">, committee </w:t>
      </w:r>
      <w:r w:rsidR="00BD79D8" w:rsidRPr="00A2190E">
        <w:t>outcome</w:t>
      </w:r>
      <w:r w:rsidR="00D72FD6" w:rsidRPr="00A2190E">
        <w:t>s</w:t>
      </w:r>
      <w:r w:rsidR="00BD79D8" w:rsidRPr="00A2190E">
        <w:t xml:space="preserve"> </w:t>
      </w:r>
      <w:r w:rsidR="00F52B9A" w:rsidRPr="00A2190E">
        <w:t>are gospel.</w:t>
      </w:r>
      <w:r w:rsidR="00F52B9A">
        <w:t xml:space="preserve"> </w:t>
      </w:r>
      <w:r w:rsidR="00AC1A95">
        <w:t>An analyst discussing a sovereign credit in committee spends</w:t>
      </w:r>
      <w:r w:rsidR="000E1CA2">
        <w:t xml:space="preserve"> hours preparing written and tabular materials for committee consideration. </w:t>
      </w:r>
      <w:r w:rsidR="000A2CA4">
        <w:t>Each</w:t>
      </w:r>
      <w:r w:rsidR="00AD1904">
        <w:t xml:space="preserve"> voting committee member has one vote</w:t>
      </w:r>
      <w:r w:rsidR="00FB3DFF">
        <w:t xml:space="preserve">. The </w:t>
      </w:r>
      <w:r w:rsidR="00AD1904">
        <w:t xml:space="preserve">chair </w:t>
      </w:r>
      <w:r w:rsidR="00FB3DFF">
        <w:t xml:space="preserve">has no </w:t>
      </w:r>
      <w:r w:rsidR="00AD1904">
        <w:t>veto power</w:t>
      </w:r>
      <w:r w:rsidR="000E1CA2">
        <w:t>.</w:t>
      </w:r>
      <w:r w:rsidR="00F52B9A">
        <w:t xml:space="preserve"> </w:t>
      </w:r>
      <w:r w:rsidR="000A2CA4">
        <w:t xml:space="preserve">Aside from the </w:t>
      </w:r>
      <w:r w:rsidR="0000185E">
        <w:t xml:space="preserve">strong </w:t>
      </w:r>
      <w:r w:rsidR="000A2CA4">
        <w:t>reaction of committee members, w</w:t>
      </w:r>
      <w:r w:rsidR="00F52B9A">
        <w:t xml:space="preserve">ere a committee chair (or anyone else) to disregard the vote of the committee, the controls that Standard &amp; Poor’s has put into place to monitor such an occurrence would </w:t>
      </w:r>
      <w:r w:rsidR="00BD79D8">
        <w:t>come</w:t>
      </w:r>
      <w:r w:rsidR="00F52B9A">
        <w:t xml:space="preserve"> into effect</w:t>
      </w:r>
      <w:r w:rsidR="000A2CA4">
        <w:t xml:space="preserve">. </w:t>
      </w:r>
    </w:p>
    <w:p w:rsidR="003B6583" w:rsidRDefault="00BA283E" w:rsidP="00DC17C2">
      <w:r>
        <w:t xml:space="preserve">We reject the </w:t>
      </w:r>
      <w:r w:rsidR="003B2A5C">
        <w:t xml:space="preserve">authors’ </w:t>
      </w:r>
      <w:r>
        <w:t xml:space="preserve">“one-size-fits-all-agencies” </w:t>
      </w:r>
      <w:r w:rsidR="003B2A5C">
        <w:t xml:space="preserve">algorithm not only for its </w:t>
      </w:r>
      <w:r w:rsidR="000A2CA4">
        <w:t xml:space="preserve">unsupported premises and </w:t>
      </w:r>
      <w:r w:rsidR="003B2A5C">
        <w:t>substantive deficiencies, but also because it</w:t>
      </w:r>
      <w:r w:rsidR="000A2CA4">
        <w:t xml:space="preserve"> does not seek to offer what </w:t>
      </w:r>
      <w:r w:rsidR="0000185E">
        <w:t xml:space="preserve">a </w:t>
      </w:r>
      <w:r w:rsidR="000A2CA4">
        <w:t>Standard &amp; Poor’s rating do</w:t>
      </w:r>
      <w:r w:rsidR="0000185E">
        <w:t>es</w:t>
      </w:r>
      <w:r w:rsidR="000A2CA4">
        <w:t>: a forward-looking opinion about future creditworthiness</w:t>
      </w:r>
      <w:r w:rsidR="003B2A5C">
        <w:t xml:space="preserve">. </w:t>
      </w:r>
      <w:r w:rsidR="00F52B9A">
        <w:t xml:space="preserve">The authors’ </w:t>
      </w:r>
      <w:r w:rsidR="003B2A5C">
        <w:t xml:space="preserve">“home bias” </w:t>
      </w:r>
      <w:r w:rsidR="00F52B9A">
        <w:t>claim is supported neither by their algorithm nor by fact</w:t>
      </w:r>
      <w:r w:rsidR="00CD4C0A">
        <w:t xml:space="preserve">. And their theories of “patriotic loyalty” and the like </w:t>
      </w:r>
      <w:r w:rsidR="00BD79D8">
        <w:t xml:space="preserve">show very clearly </w:t>
      </w:r>
      <w:r w:rsidR="00CD4C0A">
        <w:t>that they have not studied their subject.</w:t>
      </w:r>
      <w:r w:rsidR="000A2CA4">
        <w:t xml:space="preserve"> </w:t>
      </w:r>
    </w:p>
    <w:p w:rsidR="00F22802" w:rsidRDefault="00F22802" w:rsidP="00E1790A"/>
    <w:sectPr w:rsidR="00F22802" w:rsidSect="006233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T 35 Light">
    <w:charset w:val="00"/>
    <w:family w:val="swiss"/>
    <w:pitch w:val="variable"/>
    <w:sig w:usb0="80000003" w:usb1="0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533351B-053D-49D9-92CB-1D597A1A4998}"/>
  </w:font>
  <w:font w:name="AvenirLTStd-Light">
    <w:altName w:val="Avenir LT Std 3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705A934-E8E6-436D-BC3A-77193458F3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0A"/>
    <w:rsid w:val="0000185E"/>
    <w:rsid w:val="000122F8"/>
    <w:rsid w:val="000426EA"/>
    <w:rsid w:val="000524BC"/>
    <w:rsid w:val="000A2CA4"/>
    <w:rsid w:val="000C0806"/>
    <w:rsid w:val="000E1CA2"/>
    <w:rsid w:val="001F13E1"/>
    <w:rsid w:val="002223CC"/>
    <w:rsid w:val="00223A69"/>
    <w:rsid w:val="002555FD"/>
    <w:rsid w:val="0026012A"/>
    <w:rsid w:val="002840DE"/>
    <w:rsid w:val="002C2182"/>
    <w:rsid w:val="002E5BFB"/>
    <w:rsid w:val="002F63F2"/>
    <w:rsid w:val="0031013B"/>
    <w:rsid w:val="003342CA"/>
    <w:rsid w:val="003420B1"/>
    <w:rsid w:val="003B2A5C"/>
    <w:rsid w:val="003B6583"/>
    <w:rsid w:val="003F662F"/>
    <w:rsid w:val="004336D9"/>
    <w:rsid w:val="004B1C1E"/>
    <w:rsid w:val="004C6EED"/>
    <w:rsid w:val="004D76F5"/>
    <w:rsid w:val="005643DE"/>
    <w:rsid w:val="005764F0"/>
    <w:rsid w:val="00596463"/>
    <w:rsid w:val="005A766A"/>
    <w:rsid w:val="005B5A3A"/>
    <w:rsid w:val="00606325"/>
    <w:rsid w:val="006103D4"/>
    <w:rsid w:val="006233E7"/>
    <w:rsid w:val="00674C52"/>
    <w:rsid w:val="00771EE8"/>
    <w:rsid w:val="007A45BE"/>
    <w:rsid w:val="007A46C5"/>
    <w:rsid w:val="007D4ABE"/>
    <w:rsid w:val="00802386"/>
    <w:rsid w:val="0080304C"/>
    <w:rsid w:val="0082139F"/>
    <w:rsid w:val="008872BE"/>
    <w:rsid w:val="008C30C6"/>
    <w:rsid w:val="00997536"/>
    <w:rsid w:val="009F69DD"/>
    <w:rsid w:val="00A2190E"/>
    <w:rsid w:val="00A9540B"/>
    <w:rsid w:val="00AB346F"/>
    <w:rsid w:val="00AC1A95"/>
    <w:rsid w:val="00AD1904"/>
    <w:rsid w:val="00AD3162"/>
    <w:rsid w:val="00B65DC5"/>
    <w:rsid w:val="00B67AF7"/>
    <w:rsid w:val="00BA283E"/>
    <w:rsid w:val="00BB18B4"/>
    <w:rsid w:val="00BD79D8"/>
    <w:rsid w:val="00C16236"/>
    <w:rsid w:val="00C66480"/>
    <w:rsid w:val="00CD4C0A"/>
    <w:rsid w:val="00CD60C5"/>
    <w:rsid w:val="00D36DC6"/>
    <w:rsid w:val="00D72FD6"/>
    <w:rsid w:val="00DC17C2"/>
    <w:rsid w:val="00DD0B3C"/>
    <w:rsid w:val="00E1790A"/>
    <w:rsid w:val="00E476F3"/>
    <w:rsid w:val="00E768E5"/>
    <w:rsid w:val="00E84665"/>
    <w:rsid w:val="00EA5172"/>
    <w:rsid w:val="00F22802"/>
    <w:rsid w:val="00F325D4"/>
    <w:rsid w:val="00F450E4"/>
    <w:rsid w:val="00F52B9A"/>
    <w:rsid w:val="00F6098A"/>
    <w:rsid w:val="00F70A21"/>
    <w:rsid w:val="00F7778E"/>
    <w:rsid w:val="00F82FEC"/>
    <w:rsid w:val="00F85BC2"/>
    <w:rsid w:val="00FB3DFF"/>
    <w:rsid w:val="00FC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">
    <w:name w:val="Letterhead"/>
    <w:basedOn w:val="Normal"/>
    <w:qFormat/>
    <w:rsid w:val="002555FD"/>
    <w:pPr>
      <w:widowControl w:val="0"/>
      <w:tabs>
        <w:tab w:val="left" w:pos="1094"/>
        <w:tab w:val="left" w:pos="1170"/>
      </w:tabs>
      <w:autoSpaceDE w:val="0"/>
      <w:autoSpaceDN w:val="0"/>
      <w:adjustRightInd w:val="0"/>
      <w:spacing w:after="0" w:line="170" w:lineRule="atLeast"/>
      <w:textAlignment w:val="center"/>
    </w:pPr>
    <w:rPr>
      <w:rFonts w:ascii="Avenir LT 35 Light" w:eastAsia="Cambria" w:hAnsi="Avenir LT 35 Light" w:cs="AvenirLTStd-Light"/>
      <w:color w:val="000000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">
    <w:name w:val="Letterhead"/>
    <w:basedOn w:val="Normal"/>
    <w:qFormat/>
    <w:rsid w:val="002555FD"/>
    <w:pPr>
      <w:widowControl w:val="0"/>
      <w:tabs>
        <w:tab w:val="left" w:pos="1094"/>
        <w:tab w:val="left" w:pos="1170"/>
      </w:tabs>
      <w:autoSpaceDE w:val="0"/>
      <w:autoSpaceDN w:val="0"/>
      <w:adjustRightInd w:val="0"/>
      <w:spacing w:after="0" w:line="170" w:lineRule="atLeast"/>
      <w:textAlignment w:val="center"/>
    </w:pPr>
    <w:rPr>
      <w:rFonts w:ascii="Avenir LT 35 Light" w:eastAsia="Cambria" w:hAnsi="Avenir LT 35 Light" w:cs="AvenirLTStd-Light"/>
      <w:color w:val="000000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SP_2013">
  <a:themeElements>
    <a:clrScheme name="SP_2013">
      <a:dk1>
        <a:srgbClr val="000000"/>
      </a:dk1>
      <a:lt1>
        <a:srgbClr val="FFFFFF"/>
      </a:lt1>
      <a:dk2>
        <a:srgbClr val="E3173E"/>
      </a:dk2>
      <a:lt2>
        <a:srgbClr val="46484A"/>
      </a:lt2>
      <a:accent1>
        <a:srgbClr val="73C8EB"/>
      </a:accent1>
      <a:accent2>
        <a:srgbClr val="A4D100"/>
      </a:accent2>
      <a:accent3>
        <a:srgbClr val="FFC800"/>
      </a:accent3>
      <a:accent4>
        <a:srgbClr val="646668"/>
      </a:accent4>
      <a:accent5>
        <a:srgbClr val="8C8E90"/>
      </a:accent5>
      <a:accent6>
        <a:srgbClr val="B4B6B8"/>
      </a:accent6>
      <a:hlink>
        <a:srgbClr val="E3173E"/>
      </a:hlink>
      <a:folHlink>
        <a:srgbClr val="AA112E"/>
      </a:folHlink>
    </a:clrScheme>
    <a:fontScheme name="SP_2013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tx2"/>
        </a:solidFill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rtlCol="0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sz="1400" dirty="0" smtClean="0">
            <a:latin typeface="+mn-lt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Verdana" pitchFamily="34" charset="0"/>
          </a:defRPr>
        </a:defPPr>
      </a:lstStyle>
    </a:lnDef>
    <a:txDef>
      <a:spPr>
        <a:noFill/>
      </a:spPr>
      <a:bodyPr wrap="square" rtlCol="0">
        <a:spAutoFit/>
      </a:bodyPr>
      <a:lstStyle>
        <a:defPPr>
          <a:defRPr dirty="0" err="1" smtClean="0">
            <a:latin typeface="+mn-lt"/>
          </a:defRPr>
        </a:defPPr>
      </a:lstStyle>
    </a:txDef>
  </a:objectDefaults>
  <a:extraClrSchemeLst>
    <a:extraClrScheme>
      <a:clrScheme name="IMS_PPT_Standard_Template_v2 1">
        <a:dk1>
          <a:srgbClr val="111111"/>
        </a:dk1>
        <a:lt1>
          <a:srgbClr val="FFFFFF"/>
        </a:lt1>
        <a:dk2>
          <a:srgbClr val="0E0733"/>
        </a:dk2>
        <a:lt2>
          <a:srgbClr val="2E8D9E"/>
        </a:lt2>
        <a:accent1>
          <a:srgbClr val="C07200"/>
        </a:accent1>
        <a:accent2>
          <a:srgbClr val="0F6800"/>
        </a:accent2>
        <a:accent3>
          <a:srgbClr val="FFFFFF"/>
        </a:accent3>
        <a:accent4>
          <a:srgbClr val="0D0D0D"/>
        </a:accent4>
        <a:accent5>
          <a:srgbClr val="DCBCAA"/>
        </a:accent5>
        <a:accent6>
          <a:srgbClr val="0C5E00"/>
        </a:accent6>
        <a:hlink>
          <a:srgbClr val="00528A"/>
        </a:hlink>
        <a:folHlink>
          <a:srgbClr val="860C0E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McGraw-Hill Companies</Company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Tierney, Mark</dc:creator>
  <cp:lastModifiedBy>Tierney, Mark</cp:lastModifiedBy>
  <cp:revision>6</cp:revision>
  <cp:lastPrinted>2014-02-03T07:55:00Z</cp:lastPrinted>
  <dcterms:created xsi:type="dcterms:W3CDTF">2014-02-03T17:02:00Z</dcterms:created>
  <dcterms:modified xsi:type="dcterms:W3CDTF">2014-02-04T11:58:00Z</dcterms:modified>
</cp:coreProperties>
</file>